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r>
        <w:rPr>
          <w:rFonts w:ascii="Arial" w:hAnsi="Arial" w:eastAsia="MS Mincho" w:cs="Arial"/>
          <w:b/>
          <w:sz w:val="24"/>
          <w:szCs w:val="24"/>
          <w:lang w:val="en-US"/>
        </w:rPr>
        <w:t xml:space="preserve">3GPP TSG-RAN WG4 Meeting </w:t>
      </w:r>
      <w:r>
        <w:rPr>
          <w:rFonts w:hint="eastAsia" w:ascii="Arial" w:hAnsi="Arial" w:cs="Arial"/>
          <w:b/>
          <w:sz w:val="24"/>
          <w:szCs w:val="24"/>
          <w:lang w:val="en-US" w:eastAsia="zh-CN"/>
        </w:rPr>
        <w:t>#85</w:t>
      </w:r>
      <w:r>
        <w:rPr>
          <w:rFonts w:ascii="Arial" w:hAnsi="Arial" w:eastAsia="MS Mincho" w:cs="Arial"/>
          <w:b/>
          <w:sz w:val="24"/>
          <w:szCs w:val="24"/>
          <w:lang w:val="en-US"/>
        </w:rPr>
        <w:tab/>
      </w:r>
      <w:r>
        <w:rPr>
          <w:rFonts w:ascii="Arial" w:hAnsi="Arial" w:eastAsia="MS Mincho" w:cs="Arial"/>
          <w:b/>
          <w:sz w:val="24"/>
          <w:szCs w:val="24"/>
          <w:lang w:val="en-US"/>
        </w:rPr>
        <w:t>R4-</w:t>
      </w:r>
      <w:r>
        <w:rPr>
          <w:rFonts w:hint="eastAsia" w:ascii="Arial" w:hAnsi="Arial" w:cs="Arial"/>
          <w:b/>
          <w:sz w:val="24"/>
          <w:szCs w:val="24"/>
          <w:lang w:val="en-US" w:eastAsia="zh-CN"/>
        </w:rPr>
        <w:t>1713045</w:t>
      </w:r>
      <w:bookmarkStart w:id="1" w:name="_GoBack"/>
      <w:bookmarkEnd w:id="1"/>
    </w:p>
    <w:p>
      <w:pPr>
        <w:tabs>
          <w:tab w:val="right" w:pos="10440"/>
          <w:tab w:val="right" w:pos="13323"/>
        </w:tabs>
        <w:spacing w:afterLines="100"/>
        <w:rPr>
          <w:rFonts w:ascii="Arial" w:hAnsi="Arial" w:eastAsia="MS Mincho" w:cs="Arial"/>
          <w:b/>
          <w:sz w:val="24"/>
          <w:szCs w:val="24"/>
          <w:lang w:eastAsia="ja-JP"/>
        </w:rPr>
      </w:pPr>
      <w:r>
        <w:rPr>
          <w:rFonts w:hint="eastAsia" w:ascii="Arial" w:hAnsi="Arial" w:cs="Arial"/>
          <w:b/>
          <w:sz w:val="24"/>
          <w:szCs w:val="24"/>
          <w:lang w:val="en-US" w:eastAsia="zh-CN"/>
        </w:rPr>
        <w:t>Reno</w:t>
      </w:r>
      <w:r>
        <w:rPr>
          <w:rFonts w:ascii="Arial" w:hAnsi="Arial" w:cs="Arial"/>
          <w:b/>
          <w:sz w:val="24"/>
          <w:szCs w:val="24"/>
          <w:lang w:val="en-US" w:eastAsia="zh-CN"/>
        </w:rPr>
        <w:t xml:space="preserve">, </w:t>
      </w:r>
      <w:r>
        <w:rPr>
          <w:rFonts w:hint="eastAsia" w:ascii="Arial" w:hAnsi="Arial" w:cs="Arial"/>
          <w:b/>
          <w:sz w:val="24"/>
          <w:szCs w:val="24"/>
          <w:lang w:val="en-US" w:eastAsia="zh-CN"/>
        </w:rPr>
        <w:t>USA</w:t>
      </w:r>
      <w:r>
        <w:rPr>
          <w:rFonts w:ascii="Arial" w:hAnsi="Arial" w:cs="Arial"/>
          <w:b/>
          <w:sz w:val="24"/>
          <w:szCs w:val="24"/>
          <w:lang w:val="en-US" w:eastAsia="zh-CN"/>
        </w:rPr>
        <w:t xml:space="preserve">, </w:t>
      </w:r>
      <w:r>
        <w:rPr>
          <w:rFonts w:hint="eastAsia" w:ascii="Arial" w:hAnsi="Arial" w:cs="Arial"/>
          <w:b/>
          <w:sz w:val="24"/>
          <w:szCs w:val="24"/>
          <w:lang w:val="en-US" w:eastAsia="zh-CN"/>
        </w:rPr>
        <w:t xml:space="preserve">27 November </w:t>
      </w:r>
      <w:r>
        <w:rPr>
          <w:rFonts w:ascii="Arial" w:hAnsi="Arial" w:cs="Arial"/>
          <w:b/>
          <w:sz w:val="24"/>
          <w:szCs w:val="24"/>
          <w:lang w:val="en-US" w:eastAsia="zh-CN"/>
        </w:rPr>
        <w:t>-</w:t>
      </w:r>
      <w:r>
        <w:rPr>
          <w:rFonts w:hint="eastAsia" w:ascii="Arial" w:hAnsi="Arial" w:cs="Arial"/>
          <w:b/>
          <w:sz w:val="24"/>
          <w:szCs w:val="24"/>
          <w:lang w:val="en-US" w:eastAsia="zh-CN"/>
        </w:rPr>
        <w:t xml:space="preserve"> 1 December</w:t>
      </w:r>
      <w:r>
        <w:rPr>
          <w:rFonts w:ascii="Arial" w:hAnsi="Arial" w:cs="Arial"/>
          <w:b/>
          <w:sz w:val="24"/>
          <w:szCs w:val="24"/>
          <w:lang w:val="en-US" w:eastAsia="zh-CN"/>
        </w:rPr>
        <w:t>, 2017</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bCs/>
          <w:sz w:val="22"/>
          <w:szCs w:val="22"/>
          <w:lang w:val="en-US" w:eastAsia="zh-CN"/>
        </w:rPr>
        <w:t>ZTE</w:t>
      </w:r>
    </w:p>
    <w:p>
      <w:pPr>
        <w:tabs>
          <w:tab w:val="left" w:pos="1985"/>
        </w:tabs>
        <w:jc w:val="both"/>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Further consideration on Operator Protection</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color w:val="000000"/>
          <w:sz w:val="22"/>
          <w:szCs w:val="22"/>
          <w:lang w:val="en-US" w:eastAsia="zh-CN"/>
        </w:rPr>
        <w:t>9.6.2.2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sz w:val="22"/>
          <w:szCs w:val="22"/>
          <w:lang w:val="en-US" w:eastAsia="zh-CN"/>
        </w:rPr>
        <w:t>Approval</w:t>
      </w:r>
    </w:p>
    <w:p>
      <w:pPr>
        <w:pStyle w:val="2"/>
      </w:pPr>
      <w:r>
        <w:t>Introduction</w:t>
      </w:r>
    </w:p>
    <w:p>
      <w:pPr>
        <w:rPr>
          <w:lang w:val="en-US" w:eastAsia="zh-CN"/>
        </w:rPr>
      </w:pPr>
      <w:r>
        <w:rPr>
          <w:lang w:val="en-US" w:eastAsia="zh-CN"/>
        </w:rPr>
        <w:t xml:space="preserve">In RAN4#84bis, one WF was agreed on operator protection: </w:t>
      </w:r>
    </w:p>
    <w:p>
      <w:pPr>
        <w:rPr>
          <w:i/>
          <w:iCs/>
          <w:lang w:eastAsia="zh-CN"/>
        </w:rPr>
      </w:pPr>
      <w:r>
        <w:rPr>
          <w:rFonts w:hint="eastAsia"/>
          <w:i/>
          <w:iCs/>
          <w:lang w:eastAsia="zh-CN"/>
        </w:rPr>
        <w:t xml:space="preserve">To protect the test operator in ESD immunity tests for Range 1-O and Range 2-O NR BS, different options are considered: </w:t>
      </w:r>
    </w:p>
    <w:p>
      <w:pPr>
        <w:ind w:firstLine="280"/>
        <w:rPr>
          <w:i/>
          <w:iCs/>
          <w:lang w:eastAsia="zh-CN"/>
        </w:rPr>
      </w:pPr>
      <w:r>
        <w:rPr>
          <w:rFonts w:hint="eastAsia"/>
          <w:i/>
          <w:iCs/>
          <w:lang w:eastAsia="zh-CN"/>
        </w:rPr>
        <w:t>Option 1: Test the NR BS in receiver mode only.</w:t>
      </w:r>
    </w:p>
    <w:p>
      <w:pPr>
        <w:ind w:firstLine="280"/>
        <w:rPr>
          <w:i/>
          <w:iCs/>
          <w:lang w:eastAsia="zh-CN"/>
        </w:rPr>
      </w:pPr>
      <w:r>
        <w:rPr>
          <w:rFonts w:hint="eastAsia"/>
          <w:i/>
          <w:iCs/>
          <w:lang w:eastAsia="zh-CN"/>
        </w:rPr>
        <w:t>Option 2: Set the NR BS transmitting in a feasible low power which is safe to the operator.</w:t>
      </w:r>
    </w:p>
    <w:p>
      <w:pPr>
        <w:ind w:firstLine="280"/>
        <w:rPr>
          <w:i/>
          <w:iCs/>
          <w:lang w:eastAsia="zh-CN"/>
        </w:rPr>
      </w:pPr>
      <w:r>
        <w:rPr>
          <w:rFonts w:hint="eastAsia"/>
          <w:i/>
          <w:iCs/>
          <w:lang w:eastAsia="zh-CN"/>
        </w:rPr>
        <w:t>Option 3: Implement ESD immunity test with a robot arm in the anechoic chamber.</w:t>
      </w:r>
    </w:p>
    <w:p>
      <w:pPr>
        <w:ind w:firstLine="280"/>
        <w:rPr>
          <w:i/>
          <w:iCs/>
          <w:lang w:eastAsia="zh-CN"/>
        </w:rPr>
      </w:pPr>
      <w:r>
        <w:rPr>
          <w:rFonts w:hint="eastAsia"/>
          <w:i/>
          <w:iCs/>
          <w:lang w:eastAsia="zh-CN"/>
        </w:rPr>
        <w:t>Other options are not precluded.</w:t>
      </w:r>
    </w:p>
    <w:p>
      <w:pPr>
        <w:jc w:val="left"/>
        <w:rPr>
          <w:rFonts w:ascii="Arial" w:hAnsi="Arial" w:cs="Arial"/>
          <w:b/>
          <w:sz w:val="22"/>
          <w:szCs w:val="22"/>
          <w:lang w:eastAsia="zh-CN"/>
        </w:rPr>
      </w:pPr>
      <w:r>
        <w:rPr>
          <w:rFonts w:hint="eastAsia"/>
          <w:lang w:val="en-US" w:eastAsia="zh-CN"/>
        </w:rPr>
        <w:t>In this contribution, we share some further consideration on the issue of how to protect the operators in ESD test based on the WF.</w:t>
      </w:r>
    </w:p>
    <w:p>
      <w:pPr>
        <w:pStyle w:val="2"/>
      </w:pPr>
      <w:r>
        <w:rPr>
          <w:rFonts w:hint="eastAsia"/>
          <w:lang w:val="en-US" w:eastAsia="zh-CN"/>
        </w:rPr>
        <w:t>Discussion</w:t>
      </w:r>
    </w:p>
    <w:p>
      <w:pPr>
        <w:jc w:val="both"/>
        <w:rPr>
          <w:lang w:val="en-US" w:eastAsia="zh-CN"/>
        </w:rPr>
      </w:pPr>
      <w:r>
        <w:rPr>
          <w:rFonts w:hint="eastAsia"/>
          <w:lang w:val="en-US" w:eastAsia="zh-CN"/>
        </w:rPr>
        <w:t>The limits for occupational exposure and general population exposure are given in the ICNIRP[2], shown in Table 1 and Table 2 below:</w:t>
      </w:r>
    </w:p>
    <w:p>
      <w:pPr>
        <w:jc w:val="center"/>
        <w:rPr>
          <w:lang w:val="en-US" w:eastAsia="zh-CN"/>
        </w:rPr>
      </w:pPr>
      <w:r>
        <w:rPr>
          <w:rFonts w:hint="eastAsia"/>
          <w:lang w:val="en-US" w:eastAsia="zh-CN"/>
        </w:rPr>
        <w:t>Table 1: Limits for Occupational Exposure</w:t>
      </w:r>
    </w:p>
    <w:tbl>
      <w:tblPr>
        <w:tblStyle w:val="53"/>
        <w:tblW w:w="837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
      <w:tblGrid>
        <w:gridCol w:w="2763"/>
        <w:gridCol w:w="2763"/>
        <w:gridCol w:w="28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PrEx>
        <w:trPr>
          <w:jc w:val="center"/>
        </w:trPr>
        <w:tc>
          <w:tcPr>
            <w:tcW w:w="8373" w:type="dxa"/>
            <w:gridSpan w:val="3"/>
            <w:shd w:val="clear" w:color="auto" w:fill="F5F5F5"/>
            <w:tcMar>
              <w:top w:w="30" w:type="dxa"/>
              <w:left w:w="30" w:type="dxa"/>
              <w:bottom w:w="30" w:type="dxa"/>
              <w:right w:w="30" w:type="dxa"/>
            </w:tcMar>
          </w:tcPr>
          <w:p>
            <w:pPr>
              <w:rPr>
                <w:lang w:val="en-US" w:eastAsia="zh-CN"/>
              </w:rPr>
            </w:pPr>
            <w:r>
              <w:rPr>
                <w:rFonts w:hint="eastAsia"/>
                <w:lang w:val="en-US" w:eastAsia="zh-CN"/>
              </w:rPr>
              <w:t>Occupational Exposure: Power Density(V/m)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Ex>
        <w:trPr>
          <w:jc w:val="center"/>
        </w:trPr>
        <w:tc>
          <w:tcPr>
            <w:tcW w:w="2763" w:type="dxa"/>
            <w:tcMar>
              <w:top w:w="30" w:type="dxa"/>
              <w:left w:w="30" w:type="dxa"/>
              <w:bottom w:w="30" w:type="dxa"/>
              <w:right w:w="30" w:type="dxa"/>
            </w:tcMar>
          </w:tcPr>
          <w:p>
            <w:pPr>
              <w:rPr>
                <w:lang w:val="en-US" w:eastAsia="zh-CN"/>
              </w:rPr>
            </w:pPr>
            <w:r>
              <w:rPr>
                <w:rFonts w:hint="eastAsia"/>
                <w:lang w:val="en-US" w:eastAsia="zh-CN"/>
              </w:rPr>
              <w:t>10 – 400 (MHz)</w:t>
            </w:r>
          </w:p>
        </w:tc>
        <w:tc>
          <w:tcPr>
            <w:tcW w:w="2763" w:type="dxa"/>
            <w:tcMar>
              <w:top w:w="30" w:type="dxa"/>
              <w:left w:w="30" w:type="dxa"/>
              <w:bottom w:w="30" w:type="dxa"/>
              <w:right w:w="30" w:type="dxa"/>
            </w:tcMar>
          </w:tcPr>
          <w:p>
            <w:pPr>
              <w:rPr>
                <w:lang w:val="en-US" w:eastAsia="zh-CN"/>
              </w:rPr>
            </w:pPr>
            <w:r>
              <w:rPr>
                <w:rFonts w:hint="eastAsia"/>
                <w:lang w:val="en-US" w:eastAsia="zh-CN"/>
              </w:rPr>
              <w:t>400 – 2000 (MHz)</w:t>
            </w:r>
          </w:p>
        </w:tc>
        <w:tc>
          <w:tcPr>
            <w:tcW w:w="2847" w:type="dxa"/>
            <w:tcMar>
              <w:top w:w="30" w:type="dxa"/>
              <w:left w:w="30" w:type="dxa"/>
              <w:bottom w:w="30" w:type="dxa"/>
              <w:right w:w="30" w:type="dxa"/>
            </w:tcMar>
          </w:tcPr>
          <w:p>
            <w:pPr>
              <w:rPr>
                <w:lang w:val="en-US" w:eastAsia="zh-CN"/>
              </w:rPr>
            </w:pPr>
            <w:r>
              <w:rPr>
                <w:rFonts w:hint="eastAsia"/>
                <w:lang w:val="en-US" w:eastAsia="zh-CN"/>
              </w:rPr>
              <w:t>2000 – 30000 (MHz)</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Ex>
        <w:trPr>
          <w:jc w:val="center"/>
        </w:trPr>
        <w:tc>
          <w:tcPr>
            <w:tcW w:w="2763" w:type="dxa"/>
            <w:tcMar>
              <w:top w:w="30" w:type="dxa"/>
              <w:left w:w="30" w:type="dxa"/>
              <w:bottom w:w="30" w:type="dxa"/>
              <w:right w:w="30" w:type="dxa"/>
            </w:tcMar>
          </w:tcPr>
          <w:p>
            <w:pPr>
              <w:rPr>
                <w:lang w:val="en-US" w:eastAsia="zh-CN"/>
              </w:rPr>
            </w:pPr>
            <w:r>
              <w:rPr>
                <w:rFonts w:hint="eastAsia"/>
                <w:lang w:val="en-US" w:eastAsia="zh-CN"/>
              </w:rPr>
              <w:t>61</w:t>
            </w:r>
          </w:p>
        </w:tc>
        <w:tc>
          <w:tcPr>
            <w:tcW w:w="2763" w:type="dxa"/>
            <w:tcMar>
              <w:top w:w="30" w:type="dxa"/>
              <w:left w:w="30" w:type="dxa"/>
              <w:bottom w:w="30" w:type="dxa"/>
              <w:right w:w="30" w:type="dxa"/>
            </w:tcMar>
          </w:tcPr>
          <w:p>
            <w:pPr>
              <w:rPr>
                <w:lang w:val="en-US" w:eastAsia="zh-CN"/>
              </w:rPr>
            </w:pPr>
            <w:r>
              <w:rPr>
                <w:rFonts w:hint="eastAsia"/>
                <w:lang w:val="en-US" w:eastAsia="zh-CN"/>
              </w:rPr>
              <w:t>3f</w:t>
            </w:r>
            <w:r>
              <w:rPr>
                <w:rFonts w:hint="eastAsia"/>
                <w:vertAlign w:val="superscript"/>
                <w:lang w:val="en-US" w:eastAsia="zh-CN"/>
              </w:rPr>
              <w:t>1/2</w:t>
            </w:r>
          </w:p>
        </w:tc>
        <w:tc>
          <w:tcPr>
            <w:tcW w:w="2847" w:type="dxa"/>
            <w:tcMar>
              <w:top w:w="30" w:type="dxa"/>
              <w:left w:w="30" w:type="dxa"/>
              <w:bottom w:w="30" w:type="dxa"/>
              <w:right w:w="30" w:type="dxa"/>
            </w:tcMar>
          </w:tcPr>
          <w:p>
            <w:pPr>
              <w:rPr>
                <w:lang w:val="en-US" w:eastAsia="zh-CN"/>
              </w:rPr>
            </w:pPr>
            <w:r>
              <w:rPr>
                <w:rFonts w:hint="eastAsia"/>
                <w:lang w:val="en-US" w:eastAsia="zh-CN"/>
              </w:rPr>
              <w:t>137</w:t>
            </w:r>
          </w:p>
        </w:tc>
      </w:tr>
    </w:tbl>
    <w:p>
      <w:pPr>
        <w:jc w:val="center"/>
        <w:rPr>
          <w:lang w:val="en-US" w:eastAsia="zh-CN"/>
        </w:rPr>
      </w:pPr>
    </w:p>
    <w:p>
      <w:pPr>
        <w:jc w:val="center"/>
        <w:rPr>
          <w:lang w:val="en-US" w:eastAsia="zh-CN"/>
        </w:rPr>
      </w:pPr>
      <w:r>
        <w:rPr>
          <w:rFonts w:hint="eastAsia"/>
          <w:lang w:val="en-US" w:eastAsia="zh-CN"/>
        </w:rPr>
        <w:t>Table 2: Limits for General Population Exposure</w:t>
      </w:r>
    </w:p>
    <w:tbl>
      <w:tblPr>
        <w:tblStyle w:val="53"/>
        <w:tblW w:w="837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
      <w:tblGrid>
        <w:gridCol w:w="2763"/>
        <w:gridCol w:w="2763"/>
        <w:gridCol w:w="28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Ex>
        <w:trPr>
          <w:jc w:val="center"/>
        </w:trPr>
        <w:tc>
          <w:tcPr>
            <w:tcW w:w="8373" w:type="dxa"/>
            <w:gridSpan w:val="3"/>
            <w:shd w:val="clear" w:color="auto" w:fill="F5F5F5"/>
            <w:tcMar>
              <w:top w:w="30" w:type="dxa"/>
              <w:left w:w="30" w:type="dxa"/>
              <w:bottom w:w="30" w:type="dxa"/>
              <w:right w:w="30" w:type="dxa"/>
            </w:tcMar>
          </w:tcPr>
          <w:p>
            <w:pPr>
              <w:rPr>
                <w:b/>
                <w:bCs/>
                <w:color w:val="000000"/>
              </w:rPr>
            </w:pPr>
            <w:r>
              <w:rPr>
                <w:rFonts w:hint="eastAsia"/>
                <w:lang w:val="en-US" w:eastAsia="zh-CN"/>
              </w:rPr>
              <w:t>General Population Exposure</w:t>
            </w:r>
            <w:r>
              <w:rPr>
                <w:rFonts w:hAnsi="Verdana"/>
                <w:b/>
                <w:bCs/>
                <w:color w:val="000000"/>
              </w:rPr>
              <w:t>：</w:t>
            </w:r>
            <w:r>
              <w:rPr>
                <w:rFonts w:hint="eastAsia"/>
                <w:lang w:val="en-US" w:eastAsia="zh-CN"/>
              </w:rPr>
              <w:t>Power Density(V/m)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Ex>
        <w:trPr>
          <w:jc w:val="center"/>
        </w:trPr>
        <w:tc>
          <w:tcPr>
            <w:tcW w:w="2763" w:type="dxa"/>
            <w:tcMar>
              <w:top w:w="30" w:type="dxa"/>
              <w:left w:w="30" w:type="dxa"/>
              <w:bottom w:w="30" w:type="dxa"/>
              <w:right w:w="30" w:type="dxa"/>
            </w:tcMar>
          </w:tcPr>
          <w:p>
            <w:pPr>
              <w:rPr>
                <w:color w:val="000000"/>
              </w:rPr>
            </w:pPr>
            <w:r>
              <w:rPr>
                <w:color w:val="000000"/>
              </w:rPr>
              <w:t>10 – 400 (MHz)</w:t>
            </w:r>
          </w:p>
        </w:tc>
        <w:tc>
          <w:tcPr>
            <w:tcW w:w="2763" w:type="dxa"/>
            <w:tcMar>
              <w:top w:w="30" w:type="dxa"/>
              <w:left w:w="30" w:type="dxa"/>
              <w:bottom w:w="30" w:type="dxa"/>
              <w:right w:w="30" w:type="dxa"/>
            </w:tcMar>
          </w:tcPr>
          <w:p>
            <w:pPr>
              <w:rPr>
                <w:color w:val="000000"/>
              </w:rPr>
            </w:pPr>
            <w:r>
              <w:rPr>
                <w:color w:val="000000"/>
              </w:rPr>
              <w:t>400 – 2000 (MHz)</w:t>
            </w:r>
          </w:p>
        </w:tc>
        <w:tc>
          <w:tcPr>
            <w:tcW w:w="2847" w:type="dxa"/>
            <w:tcMar>
              <w:top w:w="30" w:type="dxa"/>
              <w:left w:w="30" w:type="dxa"/>
              <w:bottom w:w="30" w:type="dxa"/>
              <w:right w:w="30" w:type="dxa"/>
            </w:tcMar>
          </w:tcPr>
          <w:p>
            <w:pPr>
              <w:rPr>
                <w:color w:val="000000"/>
              </w:rPr>
            </w:pPr>
            <w:r>
              <w:rPr>
                <w:color w:val="000000"/>
              </w:rPr>
              <w:t xml:space="preserve">2000 – </w:t>
            </w:r>
            <w:r>
              <w:rPr>
                <w:rFonts w:hint="eastAsia"/>
                <w:color w:val="000000"/>
                <w:lang w:val="en-US" w:eastAsia="zh-CN"/>
              </w:rPr>
              <w:t>3</w:t>
            </w:r>
            <w:r>
              <w:rPr>
                <w:color w:val="000000"/>
              </w:rPr>
              <w:t>0000 (MHz)</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Ex>
        <w:trPr>
          <w:jc w:val="center"/>
        </w:trPr>
        <w:tc>
          <w:tcPr>
            <w:tcW w:w="2763" w:type="dxa"/>
            <w:tcMar>
              <w:top w:w="30" w:type="dxa"/>
              <w:left w:w="30" w:type="dxa"/>
              <w:bottom w:w="30" w:type="dxa"/>
              <w:right w:w="30" w:type="dxa"/>
            </w:tcMar>
          </w:tcPr>
          <w:p>
            <w:pPr>
              <w:rPr>
                <w:color w:val="000000"/>
                <w:lang w:eastAsia="zh-CN"/>
              </w:rPr>
            </w:pPr>
            <w:r>
              <w:rPr>
                <w:rFonts w:hint="eastAsia"/>
                <w:color w:val="000000"/>
                <w:lang w:val="en-US" w:eastAsia="zh-CN"/>
              </w:rPr>
              <w:t>28</w:t>
            </w:r>
          </w:p>
        </w:tc>
        <w:tc>
          <w:tcPr>
            <w:tcW w:w="2763" w:type="dxa"/>
            <w:tcMar>
              <w:top w:w="30" w:type="dxa"/>
              <w:left w:w="30" w:type="dxa"/>
              <w:bottom w:w="30" w:type="dxa"/>
              <w:right w:w="30" w:type="dxa"/>
            </w:tcMar>
          </w:tcPr>
          <w:p>
            <w:pPr>
              <w:rPr>
                <w:color w:val="000000"/>
                <w:lang w:eastAsia="zh-CN"/>
              </w:rPr>
            </w:pPr>
            <w:r>
              <w:rPr>
                <w:rFonts w:hint="eastAsia"/>
                <w:color w:val="000000"/>
                <w:lang w:val="en-US" w:eastAsia="zh-CN"/>
              </w:rPr>
              <w:t>1.375f</w:t>
            </w:r>
            <w:r>
              <w:rPr>
                <w:rFonts w:hint="eastAsia"/>
                <w:color w:val="000000"/>
                <w:vertAlign w:val="superscript"/>
                <w:lang w:val="en-US" w:eastAsia="zh-CN"/>
              </w:rPr>
              <w:t>1/2</w:t>
            </w:r>
          </w:p>
        </w:tc>
        <w:tc>
          <w:tcPr>
            <w:tcW w:w="2847" w:type="dxa"/>
            <w:tcMar>
              <w:top w:w="30" w:type="dxa"/>
              <w:left w:w="30" w:type="dxa"/>
              <w:bottom w:w="30" w:type="dxa"/>
              <w:right w:w="30" w:type="dxa"/>
            </w:tcMar>
          </w:tcPr>
          <w:p>
            <w:pPr>
              <w:rPr>
                <w:color w:val="000000"/>
                <w:lang w:eastAsia="zh-CN"/>
              </w:rPr>
            </w:pPr>
            <w:r>
              <w:rPr>
                <w:rFonts w:hint="eastAsia"/>
                <w:color w:val="000000"/>
                <w:lang w:val="en-US" w:eastAsia="zh-CN"/>
              </w:rPr>
              <w:t>61</w:t>
            </w:r>
          </w:p>
        </w:tc>
      </w:tr>
    </w:tbl>
    <w:p>
      <w:pPr>
        <w:jc w:val="both"/>
        <w:rPr>
          <w:lang w:val="en-US" w:eastAsia="zh-CN"/>
        </w:rPr>
      </w:pPr>
    </w:p>
    <w:p>
      <w:pPr>
        <w:jc w:val="both"/>
        <w:rPr>
          <w:lang w:val="en-US" w:eastAsia="zh-CN"/>
        </w:rPr>
      </w:pPr>
      <w:r>
        <w:rPr>
          <w:rFonts w:hint="eastAsia"/>
          <w:lang w:val="en-US" w:eastAsia="zh-CN"/>
        </w:rPr>
        <w:t>We have provided some initial discussion on the occupational exposure  and general population exposure in [3], and also some simple calculations were given based on Table 1 and Table 2. According to the calculations, it can be found that EMF exposure limits are far exceeded when NR BS type 1-O and 2-O are tested in maximum transmission power. To further confirm this issue, we provide some experimental data based on the actual BS, shown in the following texts.</w:t>
      </w:r>
    </w:p>
    <w:p>
      <w:pPr>
        <w:jc w:val="both"/>
        <w:rPr>
          <w:lang w:val="en-US" w:eastAsia="zh-CN"/>
        </w:rPr>
      </w:pPr>
      <w:r>
        <w:rPr>
          <w:rFonts w:hint="eastAsia"/>
          <w:lang w:val="en-US" w:eastAsia="zh-CN"/>
        </w:rPr>
        <w:t xml:space="preserve">Test set-up </w:t>
      </w:r>
      <w:r>
        <w:rPr>
          <w:lang w:val="en-US" w:eastAsia="zh-CN"/>
        </w:rPr>
        <w:t>is</w:t>
      </w:r>
      <w:r>
        <w:rPr>
          <w:rFonts w:hint="eastAsia"/>
          <w:lang w:val="en-US" w:eastAsia="zh-CN"/>
        </w:rPr>
        <w:t xml:space="preserve"> shown as figure 1 below</w:t>
      </w:r>
      <w:r>
        <w:rPr>
          <w:lang w:val="en-US" w:eastAsia="zh-CN"/>
        </w:rPr>
        <w:t>, where</w:t>
      </w:r>
      <w:r>
        <w:rPr>
          <w:rFonts w:hint="eastAsia"/>
          <w:lang w:val="en-US" w:eastAsia="zh-CN"/>
        </w:rPr>
        <w:t xml:space="preserve"> EUT is put in the full anechoic chamber and the electric field detector is put at 30 cm away from the EUT in different test points(i.e. antenna top side, EUT left side and EUT right side as shown in figure 2,3,4). Radiated power of the EUT is controlled and the maximum values of field strength are recorded in Table 3 and Table 4.</w:t>
      </w:r>
    </w:p>
    <w:p>
      <w:pPr>
        <w:ind w:firstLine="200"/>
        <w:jc w:val="center"/>
      </w:pPr>
    </w:p>
    <w:p>
      <w:pPr>
        <w:ind w:firstLine="200"/>
        <w:jc w:val="center"/>
      </w:pPr>
      <w:r>
        <w:rPr>
          <w:lang w:val="en-US" w:eastAsia="zh-CN"/>
        </w:rPr>
        <w:drawing>
          <wp:inline distT="0" distB="0" distL="114300" distR="114300">
            <wp:extent cx="4766945" cy="2082800"/>
            <wp:effectExtent l="0" t="0" r="14605" b="1270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4" cstate="print"/>
                    <a:stretch>
                      <a:fillRect/>
                    </a:stretch>
                  </pic:blipFill>
                  <pic:spPr>
                    <a:xfrm>
                      <a:off x="0" y="0"/>
                      <a:ext cx="4766945" cy="2082800"/>
                    </a:xfrm>
                    <a:prstGeom prst="rect">
                      <a:avLst/>
                    </a:prstGeom>
                    <a:noFill/>
                    <a:ln w="9525">
                      <a:noFill/>
                    </a:ln>
                  </pic:spPr>
                </pic:pic>
              </a:graphicData>
            </a:graphic>
          </wp:inline>
        </w:drawing>
      </w:r>
    </w:p>
    <w:p>
      <w:pPr>
        <w:ind w:firstLine="200"/>
        <w:jc w:val="center"/>
        <w:rPr>
          <w:lang w:val="en-US" w:eastAsia="zh-CN"/>
        </w:rPr>
      </w:pPr>
      <w:r>
        <w:rPr>
          <w:rFonts w:hint="eastAsia"/>
          <w:lang w:val="en-US" w:eastAsia="zh-CN"/>
        </w:rPr>
        <w:t xml:space="preserve">Figure 1: Test Set-up </w:t>
      </w:r>
    </w:p>
    <w:p>
      <w:pPr>
        <w:ind w:firstLine="200"/>
        <w:jc w:val="center"/>
      </w:pPr>
      <w:r>
        <w:rPr>
          <w:lang w:val="en-US" w:eastAsia="zh-CN"/>
        </w:rPr>
        <w:drawing>
          <wp:inline distT="0" distB="0" distL="114300" distR="114300">
            <wp:extent cx="4464050" cy="3284855"/>
            <wp:effectExtent l="0" t="0" r="12700" b="1079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5" cstate="print"/>
                    <a:stretch>
                      <a:fillRect/>
                    </a:stretch>
                  </pic:blipFill>
                  <pic:spPr>
                    <a:xfrm>
                      <a:off x="0" y="0"/>
                      <a:ext cx="4464050" cy="3284855"/>
                    </a:xfrm>
                    <a:prstGeom prst="rect">
                      <a:avLst/>
                    </a:prstGeom>
                    <a:noFill/>
                    <a:ln w="9525">
                      <a:noFill/>
                    </a:ln>
                  </pic:spPr>
                </pic:pic>
              </a:graphicData>
            </a:graphic>
          </wp:inline>
        </w:drawing>
      </w:r>
    </w:p>
    <w:p>
      <w:pPr>
        <w:ind w:firstLine="200"/>
        <w:jc w:val="center"/>
        <w:rPr>
          <w:lang w:val="en-US" w:eastAsia="zh-CN"/>
        </w:rPr>
      </w:pPr>
      <w:r>
        <w:rPr>
          <w:rFonts w:hint="eastAsia"/>
          <w:lang w:val="en-US" w:eastAsia="zh-CN"/>
        </w:rPr>
        <w:t xml:space="preserve">Figure 2: EF Detector at Antenna Top side </w:t>
      </w:r>
    </w:p>
    <w:p>
      <w:pPr>
        <w:ind w:firstLine="200"/>
        <w:jc w:val="center"/>
      </w:pPr>
      <w:r>
        <w:rPr>
          <w:lang w:val="en-US" w:eastAsia="zh-CN"/>
        </w:rPr>
        <w:drawing>
          <wp:inline distT="0" distB="0" distL="114300" distR="114300">
            <wp:extent cx="4464050" cy="2607310"/>
            <wp:effectExtent l="0" t="0" r="12700" b="254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6" cstate="print"/>
                    <a:stretch>
                      <a:fillRect/>
                    </a:stretch>
                  </pic:blipFill>
                  <pic:spPr>
                    <a:xfrm>
                      <a:off x="0" y="0"/>
                      <a:ext cx="4464050" cy="2607310"/>
                    </a:xfrm>
                    <a:prstGeom prst="rect">
                      <a:avLst/>
                    </a:prstGeom>
                    <a:noFill/>
                    <a:ln w="9525">
                      <a:noFill/>
                    </a:ln>
                  </pic:spPr>
                </pic:pic>
              </a:graphicData>
            </a:graphic>
          </wp:inline>
        </w:drawing>
      </w:r>
    </w:p>
    <w:p>
      <w:pPr>
        <w:ind w:firstLine="200"/>
        <w:jc w:val="center"/>
        <w:rPr>
          <w:lang w:val="en-US" w:eastAsia="zh-CN"/>
        </w:rPr>
      </w:pPr>
      <w:r>
        <w:rPr>
          <w:rFonts w:hint="eastAsia"/>
          <w:lang w:val="en-US" w:eastAsia="zh-CN"/>
        </w:rPr>
        <w:t xml:space="preserve">Figure 3: EF Detector at EUT Left side </w:t>
      </w:r>
    </w:p>
    <w:p>
      <w:pPr>
        <w:ind w:firstLine="200"/>
        <w:jc w:val="center"/>
      </w:pPr>
      <w:r>
        <w:rPr>
          <w:lang w:val="en-US" w:eastAsia="zh-CN"/>
        </w:rPr>
        <w:drawing>
          <wp:inline distT="0" distB="0" distL="114300" distR="114300">
            <wp:extent cx="4500245" cy="3336925"/>
            <wp:effectExtent l="0" t="0" r="14605" b="1587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7" cstate="print"/>
                    <a:stretch>
                      <a:fillRect/>
                    </a:stretch>
                  </pic:blipFill>
                  <pic:spPr>
                    <a:xfrm>
                      <a:off x="0" y="0"/>
                      <a:ext cx="4500245" cy="3336925"/>
                    </a:xfrm>
                    <a:prstGeom prst="rect">
                      <a:avLst/>
                    </a:prstGeom>
                    <a:noFill/>
                    <a:ln w="9525">
                      <a:noFill/>
                    </a:ln>
                  </pic:spPr>
                </pic:pic>
              </a:graphicData>
            </a:graphic>
          </wp:inline>
        </w:drawing>
      </w:r>
    </w:p>
    <w:p>
      <w:pPr>
        <w:ind w:firstLine="200"/>
        <w:jc w:val="center"/>
      </w:pPr>
      <w:r>
        <w:rPr>
          <w:rFonts w:hint="eastAsia"/>
          <w:lang w:val="en-US" w:eastAsia="zh-CN"/>
        </w:rPr>
        <w:t xml:space="preserve">Figure 4: EF Detector at EUT Right side </w:t>
      </w:r>
    </w:p>
    <w:p>
      <w:pPr>
        <w:ind w:firstLine="200"/>
        <w:jc w:val="both"/>
        <w:rPr>
          <w:lang w:val="en-US" w:eastAsia="zh-CN"/>
        </w:rPr>
      </w:pPr>
      <w:r>
        <w:rPr>
          <w:rFonts w:hint="eastAsia"/>
          <w:lang w:val="en-US" w:eastAsia="zh-CN"/>
        </w:rPr>
        <w:t>By using the EF detector, the field strength are tested in different positions of the EUT and the corresponding test results are captured in Table 3 below for different radiated power.</w:t>
      </w:r>
    </w:p>
    <w:p>
      <w:pPr>
        <w:ind w:firstLine="200"/>
        <w:jc w:val="center"/>
        <w:rPr>
          <w:lang w:val="en-US" w:eastAsia="zh-CN"/>
        </w:rPr>
      </w:pPr>
      <w:r>
        <w:rPr>
          <w:rFonts w:hint="eastAsia"/>
          <w:lang w:val="en-US" w:eastAsia="zh-CN"/>
        </w:rPr>
        <w:t>Table 3 Field Strength Measurement Result</w:t>
      </w:r>
    </w:p>
    <w:tbl>
      <w:tblPr>
        <w:tblStyle w:val="54"/>
        <w:tblW w:w="105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3"/>
        <w:gridCol w:w="2634"/>
        <w:gridCol w:w="2634"/>
        <w:gridCol w:w="2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33" w:type="dxa"/>
            <w:vAlign w:val="center"/>
          </w:tcPr>
          <w:p>
            <w:pPr>
              <w:jc w:val="center"/>
              <w:rPr>
                <w:lang w:val="en-US" w:eastAsia="zh-CN"/>
              </w:rPr>
            </w:pPr>
            <w:r>
              <w:rPr>
                <w:rFonts w:hint="eastAsia"/>
                <w:lang w:val="en-US" w:eastAsia="zh-CN"/>
              </w:rPr>
              <w:t>Single Antenna Port Power</w:t>
            </w:r>
          </w:p>
        </w:tc>
        <w:tc>
          <w:tcPr>
            <w:tcW w:w="2634" w:type="dxa"/>
            <w:vAlign w:val="center"/>
          </w:tcPr>
          <w:p>
            <w:pPr>
              <w:jc w:val="center"/>
              <w:rPr>
                <w:lang w:val="en-US" w:eastAsia="zh-CN"/>
              </w:rPr>
            </w:pPr>
            <w:r>
              <w:rPr>
                <w:rFonts w:hint="eastAsia"/>
                <w:lang w:val="en-US" w:eastAsia="zh-CN"/>
              </w:rPr>
              <w:t>Test Point</w:t>
            </w:r>
          </w:p>
        </w:tc>
        <w:tc>
          <w:tcPr>
            <w:tcW w:w="2634" w:type="dxa"/>
            <w:vAlign w:val="center"/>
          </w:tcPr>
          <w:p>
            <w:pPr>
              <w:jc w:val="center"/>
              <w:rPr>
                <w:lang w:val="en-US" w:eastAsia="zh-CN"/>
              </w:rPr>
            </w:pPr>
            <w:r>
              <w:rPr>
                <w:rFonts w:hint="eastAsia"/>
                <w:lang w:val="en-US" w:eastAsia="zh-CN"/>
              </w:rPr>
              <w:t>Field Strength</w:t>
            </w:r>
          </w:p>
        </w:tc>
        <w:tc>
          <w:tcPr>
            <w:tcW w:w="2634" w:type="dxa"/>
            <w:vAlign w:val="center"/>
          </w:tcPr>
          <w:p>
            <w:pPr>
              <w:jc w:val="center"/>
              <w:rPr>
                <w:lang w:val="en-US" w:eastAsia="zh-CN"/>
              </w:rPr>
            </w:pPr>
            <w:r>
              <w:rPr>
                <w:rFonts w:hint="eastAsia"/>
                <w:lang w:val="en-US" w:eastAsia="zh-CN"/>
              </w:rPr>
              <w:t>ICNIRP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33" w:type="dxa"/>
            <w:vAlign w:val="center"/>
          </w:tcPr>
          <w:p>
            <w:pPr>
              <w:jc w:val="center"/>
              <w:rPr>
                <w:lang w:val="en-US" w:eastAsia="zh-CN"/>
              </w:rPr>
            </w:pPr>
            <w:r>
              <w:rPr>
                <w:rFonts w:hint="eastAsia"/>
                <w:lang w:val="en-US" w:eastAsia="zh-CN"/>
              </w:rPr>
              <w:t>30dBm</w:t>
            </w:r>
          </w:p>
        </w:tc>
        <w:tc>
          <w:tcPr>
            <w:tcW w:w="2634" w:type="dxa"/>
            <w:vAlign w:val="center"/>
          </w:tcPr>
          <w:p>
            <w:pPr>
              <w:jc w:val="center"/>
              <w:rPr>
                <w:lang w:val="en-US" w:eastAsia="zh-CN"/>
              </w:rPr>
            </w:pPr>
            <w:r>
              <w:rPr>
                <w:rFonts w:hint="eastAsia"/>
                <w:lang w:val="en-US" w:eastAsia="zh-CN"/>
              </w:rPr>
              <w:t>Antenna Top side</w:t>
            </w:r>
          </w:p>
        </w:tc>
        <w:tc>
          <w:tcPr>
            <w:tcW w:w="2634" w:type="dxa"/>
            <w:vAlign w:val="center"/>
          </w:tcPr>
          <w:p>
            <w:pPr>
              <w:jc w:val="center"/>
              <w:rPr>
                <w:lang w:val="en-US" w:eastAsia="zh-CN"/>
              </w:rPr>
            </w:pPr>
            <w:r>
              <w:rPr>
                <w:rFonts w:hint="eastAsia"/>
                <w:lang w:val="en-US" w:eastAsia="zh-CN"/>
              </w:rPr>
              <w:t>356V/m max</w:t>
            </w:r>
          </w:p>
        </w:tc>
        <w:tc>
          <w:tcPr>
            <w:tcW w:w="2634" w:type="dxa"/>
            <w:vAlign w:val="center"/>
          </w:tcPr>
          <w:p>
            <w:pPr>
              <w:jc w:val="center"/>
              <w:rPr>
                <w:lang w:val="en-US" w:eastAsia="zh-CN"/>
              </w:rPr>
            </w:pPr>
            <w:r>
              <w:rPr>
                <w:rFonts w:hint="eastAsia"/>
                <w:lang w:val="en-US" w:eastAsia="zh-CN"/>
              </w:rPr>
              <w:t>61V/m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33" w:type="dxa"/>
            <w:vAlign w:val="center"/>
          </w:tcPr>
          <w:p>
            <w:pPr>
              <w:jc w:val="center"/>
              <w:rPr>
                <w:lang w:val="en-US" w:eastAsia="zh-CN"/>
              </w:rPr>
            </w:pPr>
            <w:r>
              <w:rPr>
                <w:rFonts w:hint="eastAsia"/>
                <w:lang w:val="en-US" w:eastAsia="zh-CN"/>
              </w:rPr>
              <w:t>30dBm</w:t>
            </w:r>
          </w:p>
        </w:tc>
        <w:tc>
          <w:tcPr>
            <w:tcW w:w="2634" w:type="dxa"/>
            <w:vAlign w:val="center"/>
          </w:tcPr>
          <w:p>
            <w:pPr>
              <w:jc w:val="center"/>
              <w:rPr>
                <w:lang w:val="en-US" w:eastAsia="zh-CN"/>
              </w:rPr>
            </w:pPr>
            <w:r>
              <w:rPr>
                <w:rFonts w:hint="eastAsia"/>
                <w:lang w:val="en-US" w:eastAsia="zh-CN"/>
              </w:rPr>
              <w:t>EUT left side</w:t>
            </w:r>
          </w:p>
        </w:tc>
        <w:tc>
          <w:tcPr>
            <w:tcW w:w="2634" w:type="dxa"/>
            <w:vAlign w:val="center"/>
          </w:tcPr>
          <w:p>
            <w:pPr>
              <w:jc w:val="center"/>
              <w:rPr>
                <w:lang w:val="en-US" w:eastAsia="zh-CN"/>
              </w:rPr>
            </w:pPr>
            <w:r>
              <w:rPr>
                <w:rFonts w:hint="eastAsia"/>
                <w:lang w:val="en-US" w:eastAsia="zh-CN"/>
              </w:rPr>
              <w:t>11V/m  max</w:t>
            </w:r>
          </w:p>
        </w:tc>
        <w:tc>
          <w:tcPr>
            <w:tcW w:w="2634" w:type="dxa"/>
            <w:vAlign w:val="center"/>
          </w:tcPr>
          <w:p>
            <w:pPr>
              <w:jc w:val="center"/>
              <w:rPr>
                <w:lang w:val="en-US" w:eastAsia="zh-CN"/>
              </w:rPr>
            </w:pPr>
            <w:r>
              <w:rPr>
                <w:rFonts w:hint="eastAsia"/>
                <w:lang w:val="en-US" w:eastAsia="zh-CN"/>
              </w:rPr>
              <w:t>61V/m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33" w:type="dxa"/>
            <w:vAlign w:val="center"/>
          </w:tcPr>
          <w:p>
            <w:pPr>
              <w:jc w:val="center"/>
              <w:rPr>
                <w:lang w:val="en-US" w:eastAsia="zh-CN"/>
              </w:rPr>
            </w:pPr>
            <w:r>
              <w:rPr>
                <w:rFonts w:hint="eastAsia"/>
                <w:lang w:val="en-US" w:eastAsia="zh-CN"/>
              </w:rPr>
              <w:t>30dBm</w:t>
            </w:r>
          </w:p>
        </w:tc>
        <w:tc>
          <w:tcPr>
            <w:tcW w:w="2634" w:type="dxa"/>
            <w:vAlign w:val="center"/>
          </w:tcPr>
          <w:p>
            <w:pPr>
              <w:jc w:val="center"/>
              <w:rPr>
                <w:lang w:val="en-US" w:eastAsia="zh-CN"/>
              </w:rPr>
            </w:pPr>
            <w:r>
              <w:rPr>
                <w:rFonts w:hint="eastAsia"/>
                <w:lang w:val="en-US" w:eastAsia="zh-CN"/>
              </w:rPr>
              <w:t>EUT right side</w:t>
            </w:r>
          </w:p>
        </w:tc>
        <w:tc>
          <w:tcPr>
            <w:tcW w:w="2634" w:type="dxa"/>
            <w:vAlign w:val="center"/>
          </w:tcPr>
          <w:p>
            <w:pPr>
              <w:jc w:val="center"/>
              <w:rPr>
                <w:lang w:val="en-US" w:eastAsia="zh-CN"/>
              </w:rPr>
            </w:pPr>
            <w:r>
              <w:rPr>
                <w:rFonts w:hint="eastAsia"/>
                <w:lang w:val="en-US" w:eastAsia="zh-CN"/>
              </w:rPr>
              <w:t>39V/m  max</w:t>
            </w:r>
          </w:p>
        </w:tc>
        <w:tc>
          <w:tcPr>
            <w:tcW w:w="2634" w:type="dxa"/>
            <w:vAlign w:val="center"/>
          </w:tcPr>
          <w:p>
            <w:pPr>
              <w:jc w:val="center"/>
              <w:rPr>
                <w:lang w:val="en-US" w:eastAsia="zh-CN"/>
              </w:rPr>
            </w:pPr>
            <w:r>
              <w:rPr>
                <w:rFonts w:hint="eastAsia"/>
                <w:lang w:val="en-US" w:eastAsia="zh-CN"/>
              </w:rPr>
              <w:t>61V/m</w:t>
            </w:r>
          </w:p>
        </w:tc>
      </w:tr>
    </w:tbl>
    <w:p>
      <w:pPr>
        <w:ind w:firstLine="200"/>
        <w:jc w:val="both"/>
        <w:rPr>
          <w:highlight w:val="yellow"/>
          <w:lang w:val="en-US" w:eastAsia="zh-CN"/>
        </w:rPr>
      </w:pPr>
    </w:p>
    <w:p>
      <w:pPr>
        <w:ind w:firstLine="0"/>
        <w:jc w:val="both"/>
        <w:rPr>
          <w:lang w:val="en-US" w:eastAsia="zh-CN"/>
        </w:rPr>
      </w:pPr>
      <w:r>
        <w:rPr>
          <w:rFonts w:hint="eastAsia"/>
          <w:lang w:val="en-US" w:eastAsia="zh-CN"/>
        </w:rPr>
        <w:t>As we can see from Table 3, the maximum EMF value occurs at antenna top side. For the other side of EUT, the measurement field strength value decreases a lot.</w:t>
      </w:r>
    </w:p>
    <w:p>
      <w:pPr>
        <w:ind w:firstLine="200"/>
        <w:jc w:val="both"/>
        <w:rPr>
          <w:lang w:val="en-US" w:eastAsia="zh-CN"/>
        </w:rPr>
      </w:pPr>
      <w:r>
        <w:rPr>
          <w:rFonts w:hint="eastAsia"/>
          <w:lang w:val="en-US" w:eastAsia="zh-CN"/>
        </w:rPr>
        <w:t>3dBm and 1dBm are supposed to be feasible single antenna port power that can maintain the communication link. Experiments based on these single antenna port power are done and filed strength measurement results after descending the radiated power are show as table 4 below:</w:t>
      </w:r>
    </w:p>
    <w:p>
      <w:pPr>
        <w:ind w:firstLine="200"/>
        <w:jc w:val="center"/>
        <w:rPr>
          <w:lang w:val="en-US" w:eastAsia="zh-CN"/>
        </w:rPr>
      </w:pPr>
      <w:r>
        <w:rPr>
          <w:rFonts w:hint="eastAsia"/>
          <w:lang w:val="en-US" w:eastAsia="zh-CN"/>
        </w:rPr>
        <w:t>Table 4 Filed Strength Measurement Result After Descending the Radiated Power</w:t>
      </w:r>
    </w:p>
    <w:tbl>
      <w:tblPr>
        <w:tblStyle w:val="54"/>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3"/>
        <w:gridCol w:w="2634"/>
        <w:gridCol w:w="2634"/>
        <w:gridCol w:w="2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3" w:type="dxa"/>
            <w:vAlign w:val="center"/>
          </w:tcPr>
          <w:p>
            <w:pPr>
              <w:jc w:val="center"/>
              <w:rPr>
                <w:lang w:val="en-US" w:eastAsia="zh-CN"/>
              </w:rPr>
            </w:pPr>
            <w:r>
              <w:rPr>
                <w:rFonts w:hint="eastAsia"/>
                <w:lang w:val="en-US" w:eastAsia="zh-CN"/>
              </w:rPr>
              <w:t>Single Antenna Port Power</w:t>
            </w:r>
          </w:p>
        </w:tc>
        <w:tc>
          <w:tcPr>
            <w:tcW w:w="2634" w:type="dxa"/>
            <w:vAlign w:val="center"/>
          </w:tcPr>
          <w:p>
            <w:pPr>
              <w:jc w:val="center"/>
              <w:rPr>
                <w:lang w:val="en-US" w:eastAsia="zh-CN"/>
              </w:rPr>
            </w:pPr>
            <w:r>
              <w:rPr>
                <w:rFonts w:hint="eastAsia"/>
                <w:lang w:val="en-US" w:eastAsia="zh-CN"/>
              </w:rPr>
              <w:t>Test Point</w:t>
            </w:r>
          </w:p>
        </w:tc>
        <w:tc>
          <w:tcPr>
            <w:tcW w:w="2634" w:type="dxa"/>
            <w:vAlign w:val="center"/>
          </w:tcPr>
          <w:p>
            <w:pPr>
              <w:jc w:val="center"/>
              <w:rPr>
                <w:lang w:val="en-US" w:eastAsia="zh-CN"/>
              </w:rPr>
            </w:pPr>
            <w:r>
              <w:rPr>
                <w:rFonts w:hint="eastAsia"/>
                <w:lang w:val="en-US" w:eastAsia="zh-CN"/>
              </w:rPr>
              <w:t>Field Strength</w:t>
            </w:r>
          </w:p>
        </w:tc>
        <w:tc>
          <w:tcPr>
            <w:tcW w:w="2634" w:type="dxa"/>
            <w:vAlign w:val="center"/>
          </w:tcPr>
          <w:p>
            <w:pPr>
              <w:jc w:val="center"/>
              <w:rPr>
                <w:lang w:val="en-US" w:eastAsia="zh-CN"/>
              </w:rPr>
            </w:pPr>
            <w:r>
              <w:rPr>
                <w:rFonts w:hint="eastAsia"/>
                <w:lang w:val="en-US" w:eastAsia="zh-CN"/>
              </w:rPr>
              <w:t>ICNIRP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3" w:type="dxa"/>
            <w:vAlign w:val="center"/>
          </w:tcPr>
          <w:p>
            <w:pPr>
              <w:jc w:val="center"/>
              <w:rPr>
                <w:lang w:val="en-US" w:eastAsia="zh-CN"/>
              </w:rPr>
            </w:pPr>
            <w:r>
              <w:rPr>
                <w:rFonts w:hint="eastAsia"/>
                <w:lang w:val="en-US" w:eastAsia="zh-CN"/>
              </w:rPr>
              <w:t>3dBm</w:t>
            </w:r>
          </w:p>
        </w:tc>
        <w:tc>
          <w:tcPr>
            <w:tcW w:w="2634" w:type="dxa"/>
            <w:vAlign w:val="center"/>
          </w:tcPr>
          <w:p>
            <w:pPr>
              <w:jc w:val="center"/>
              <w:rPr>
                <w:lang w:val="en-US" w:eastAsia="zh-CN"/>
              </w:rPr>
            </w:pPr>
            <w:r>
              <w:rPr>
                <w:rFonts w:hint="eastAsia"/>
                <w:lang w:val="en-US" w:eastAsia="zh-CN"/>
              </w:rPr>
              <w:t>Antenna Top side</w:t>
            </w:r>
          </w:p>
        </w:tc>
        <w:tc>
          <w:tcPr>
            <w:tcW w:w="2634" w:type="dxa"/>
            <w:vAlign w:val="center"/>
          </w:tcPr>
          <w:p>
            <w:pPr>
              <w:jc w:val="center"/>
              <w:rPr>
                <w:lang w:val="en-US" w:eastAsia="zh-CN"/>
              </w:rPr>
            </w:pPr>
            <w:r>
              <w:rPr>
                <w:rFonts w:hint="eastAsia"/>
                <w:lang w:val="en-US" w:eastAsia="zh-CN"/>
              </w:rPr>
              <w:t>15V/m  max</w:t>
            </w:r>
          </w:p>
        </w:tc>
        <w:tc>
          <w:tcPr>
            <w:tcW w:w="2634" w:type="dxa"/>
            <w:vAlign w:val="center"/>
          </w:tcPr>
          <w:p>
            <w:pPr>
              <w:jc w:val="center"/>
              <w:rPr>
                <w:lang w:val="en-US" w:eastAsia="zh-CN"/>
              </w:rPr>
            </w:pPr>
            <w:r>
              <w:rPr>
                <w:rFonts w:hint="eastAsia"/>
                <w:lang w:val="en-US" w:eastAsia="zh-CN"/>
              </w:rPr>
              <w:t>61V/m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3" w:type="dxa"/>
            <w:vAlign w:val="center"/>
          </w:tcPr>
          <w:p>
            <w:pPr>
              <w:jc w:val="center"/>
              <w:rPr>
                <w:lang w:val="en-US" w:eastAsia="zh-CN"/>
              </w:rPr>
            </w:pPr>
            <w:r>
              <w:rPr>
                <w:rFonts w:hint="eastAsia"/>
                <w:lang w:val="en-US" w:eastAsia="zh-CN"/>
              </w:rPr>
              <w:t>1dBm</w:t>
            </w:r>
          </w:p>
        </w:tc>
        <w:tc>
          <w:tcPr>
            <w:tcW w:w="2634" w:type="dxa"/>
            <w:vAlign w:val="center"/>
          </w:tcPr>
          <w:p>
            <w:pPr>
              <w:jc w:val="center"/>
              <w:rPr>
                <w:lang w:val="en-US" w:eastAsia="zh-CN"/>
              </w:rPr>
            </w:pPr>
            <w:r>
              <w:rPr>
                <w:rFonts w:hint="eastAsia"/>
                <w:lang w:val="en-US" w:eastAsia="zh-CN"/>
              </w:rPr>
              <w:t>Antenna Top side</w:t>
            </w:r>
          </w:p>
        </w:tc>
        <w:tc>
          <w:tcPr>
            <w:tcW w:w="2634" w:type="dxa"/>
            <w:vAlign w:val="center"/>
          </w:tcPr>
          <w:p>
            <w:pPr>
              <w:jc w:val="center"/>
              <w:rPr>
                <w:lang w:val="en-US" w:eastAsia="zh-CN"/>
              </w:rPr>
            </w:pPr>
            <w:r>
              <w:rPr>
                <w:rFonts w:hint="eastAsia"/>
                <w:lang w:val="en-US" w:eastAsia="zh-CN"/>
              </w:rPr>
              <w:t>9V/m  max</w:t>
            </w:r>
          </w:p>
        </w:tc>
        <w:tc>
          <w:tcPr>
            <w:tcW w:w="2634" w:type="dxa"/>
            <w:vAlign w:val="center"/>
          </w:tcPr>
          <w:p>
            <w:pPr>
              <w:jc w:val="center"/>
              <w:rPr>
                <w:lang w:val="en-US" w:eastAsia="zh-CN"/>
              </w:rPr>
            </w:pPr>
            <w:r>
              <w:rPr>
                <w:rFonts w:hint="eastAsia"/>
                <w:lang w:val="en-US" w:eastAsia="zh-CN"/>
              </w:rPr>
              <w:t>61V/m</w:t>
            </w:r>
          </w:p>
        </w:tc>
      </w:tr>
    </w:tbl>
    <w:p>
      <w:pPr>
        <w:ind w:firstLine="200"/>
        <w:jc w:val="both"/>
        <w:rPr>
          <w:highlight w:val="yellow"/>
          <w:lang w:val="en-US" w:eastAsia="zh-CN"/>
        </w:rPr>
      </w:pPr>
    </w:p>
    <w:p>
      <w:pPr>
        <w:ind w:firstLine="0"/>
        <w:jc w:val="both"/>
        <w:rPr>
          <w:lang w:val="en-US" w:eastAsia="zh-CN"/>
        </w:rPr>
      </w:pPr>
      <w:r>
        <w:rPr>
          <w:rFonts w:hint="eastAsia"/>
          <w:lang w:val="en-US" w:eastAsia="zh-CN"/>
        </w:rPr>
        <w:t>It can be seen from table 4 that for NR BS type 1-O and 2-O, the EMF exposure can meet the ICNIRP requirements. In this case, operators are protected from EMF exposure.</w:t>
      </w:r>
    </w:p>
    <w:p>
      <w:pPr>
        <w:ind w:firstLine="200"/>
        <w:jc w:val="both"/>
        <w:rPr>
          <w:lang w:val="en-US" w:eastAsia="zh-CN"/>
        </w:rPr>
      </w:pPr>
      <w:r>
        <w:rPr>
          <w:rFonts w:hint="eastAsia"/>
          <w:lang w:val="en-US" w:eastAsia="zh-CN"/>
        </w:rPr>
        <w:t xml:space="preserve">Considering the performance criteria of ESD test, we focus on the functions and communication links[4]. When we try to descend the radiated power to a feasible low level, the transmitter and receiver of the EUT can stay working normally. Also uplink and downlink communication are maintained and corresponding parameters can be monitored, which means the performance criteria for ESD testing will not be influenced. Hence, lowering radiated power is acceptable for ESD test when the communication link is maintained. </w:t>
      </w:r>
    </w:p>
    <w:p>
      <w:pPr>
        <w:jc w:val="both"/>
        <w:rPr>
          <w:b/>
          <w:bCs/>
          <w:lang w:val="en-US" w:eastAsia="zh-CN"/>
        </w:rPr>
      </w:pPr>
      <w:r>
        <w:rPr>
          <w:rFonts w:hint="eastAsia"/>
          <w:b/>
          <w:bCs/>
          <w:lang w:val="en-US" w:eastAsia="zh-CN"/>
        </w:rPr>
        <w:t>Observation:</w:t>
      </w:r>
      <w:r>
        <w:rPr>
          <w:rFonts w:hint="eastAsia"/>
          <w:lang w:val="en-US" w:eastAsia="zh-CN"/>
        </w:rPr>
        <w:t xml:space="preserve"> Descending the radiated power will not influence the performance criteria of ESD test.</w:t>
      </w:r>
    </w:p>
    <w:p>
      <w:pPr>
        <w:ind w:firstLine="0"/>
        <w:rPr>
          <w:b/>
          <w:i/>
          <w:lang w:val="en-US" w:eastAsia="zh-CN"/>
        </w:rPr>
      </w:pPr>
      <w:r>
        <w:rPr>
          <w:rFonts w:hint="eastAsia"/>
          <w:b/>
          <w:i/>
          <w:lang w:val="en-US" w:eastAsia="zh-CN"/>
        </w:rPr>
        <w:t>Proposal . Set the NR BS transmitting in a feasible low power which is safe to the operator for ESD testing(option 2)</w:t>
      </w:r>
    </w:p>
    <w:p>
      <w:pPr>
        <w:ind w:firstLine="200"/>
        <w:jc w:val="both"/>
        <w:rPr>
          <w:lang w:val="en-US" w:eastAsia="zh-CN"/>
        </w:rPr>
      </w:pPr>
    </w:p>
    <w:p>
      <w:pPr>
        <w:pStyle w:val="2"/>
        <w:rPr>
          <w:rFonts w:cs="Arial"/>
          <w:lang w:eastAsia="zh-CN"/>
        </w:rPr>
      </w:pPr>
      <w:r>
        <w:rPr>
          <w:rFonts w:cs="Arial"/>
          <w:lang w:eastAsia="zh-CN"/>
        </w:rPr>
        <w:t>Conclusion</w:t>
      </w:r>
    </w:p>
    <w:p>
      <w:pPr>
        <w:rPr>
          <w:b/>
          <w:bCs/>
          <w:color w:val="FF0000"/>
          <w:lang w:val="en-US" w:eastAsia="zh-CN"/>
        </w:rPr>
      </w:pPr>
      <w:r>
        <w:rPr>
          <w:rFonts w:hint="eastAsia"/>
          <w:color w:val="000000"/>
          <w:lang w:val="en-US" w:eastAsia="zh-CN"/>
        </w:rPr>
        <w:t>In this contribution, w</w:t>
      </w:r>
      <w:r>
        <w:rPr>
          <w:rFonts w:hint="eastAsia"/>
          <w:lang w:val="en-US" w:eastAsia="zh-CN"/>
        </w:rPr>
        <w:t xml:space="preserve">e discussed test </w:t>
      </w:r>
      <w:bookmarkStart w:id="0" w:name="OLE_LINK8"/>
      <w:r>
        <w:rPr>
          <w:rFonts w:hint="eastAsia"/>
          <w:lang w:val="en-US" w:eastAsia="zh-CN"/>
        </w:rPr>
        <w:t xml:space="preserve">configuration </w:t>
      </w:r>
      <w:bookmarkEnd w:id="0"/>
      <w:r>
        <w:rPr>
          <w:rFonts w:hint="eastAsia"/>
          <w:lang w:val="en-US" w:eastAsia="zh-CN"/>
        </w:rPr>
        <w:t>for ESD test and calculated the EMF Exposure. the observation and proposal are:</w:t>
      </w:r>
    </w:p>
    <w:p>
      <w:pPr>
        <w:jc w:val="both"/>
        <w:rPr>
          <w:b/>
          <w:bCs/>
          <w:lang w:val="en-US" w:eastAsia="zh-CN"/>
        </w:rPr>
      </w:pPr>
      <w:r>
        <w:rPr>
          <w:rFonts w:hint="eastAsia"/>
          <w:b/>
          <w:bCs/>
          <w:lang w:val="en-US" w:eastAsia="zh-CN"/>
        </w:rPr>
        <w:t>Observation:</w:t>
      </w:r>
      <w:r>
        <w:rPr>
          <w:rFonts w:hint="eastAsia"/>
          <w:lang w:val="en-US" w:eastAsia="zh-CN"/>
        </w:rPr>
        <w:t xml:space="preserve"> Descending the radiated power will not influence the performance criteria of ESD test.</w:t>
      </w:r>
    </w:p>
    <w:p>
      <w:pPr>
        <w:rPr>
          <w:b/>
          <w:i/>
          <w:lang w:val="en-US" w:eastAsia="zh-CN"/>
        </w:rPr>
      </w:pPr>
      <w:r>
        <w:rPr>
          <w:rFonts w:hint="eastAsia"/>
          <w:b/>
          <w:i/>
          <w:lang w:val="en-US" w:eastAsia="zh-CN"/>
        </w:rPr>
        <w:t>Proposal . Set the NR BS transmitting in a feasible low power which is safe to the operator for ESD testing(option 2)</w:t>
      </w:r>
    </w:p>
    <w:p>
      <w:pPr>
        <w:pStyle w:val="2"/>
        <w:numPr>
          <w:ilvl w:val="0"/>
          <w:numId w:val="0"/>
        </w:numPr>
        <w:ind w:left="432" w:hanging="432"/>
        <w:rPr>
          <w:rFonts w:cs="Arial"/>
          <w:lang w:eastAsia="zh-CN"/>
        </w:rPr>
      </w:pPr>
      <w:r>
        <w:rPr>
          <w:rFonts w:cs="Arial"/>
          <w:lang w:eastAsia="zh-CN"/>
        </w:rPr>
        <w:t>References</w:t>
      </w:r>
    </w:p>
    <w:p>
      <w:pPr>
        <w:pStyle w:val="120"/>
        <w:numPr>
          <w:ilvl w:val="0"/>
          <w:numId w:val="7"/>
        </w:numPr>
        <w:rPr>
          <w:lang w:eastAsia="zh-CN"/>
        </w:rPr>
      </w:pPr>
      <w:r>
        <w:rPr>
          <w:rFonts w:hint="eastAsia"/>
          <w:lang w:val="en-US" w:eastAsia="zh-CN"/>
        </w:rPr>
        <w:t xml:space="preserve">R4-1711834, </w:t>
      </w:r>
      <w:r>
        <w:rPr>
          <w:lang w:val="en-US" w:eastAsia="zh-CN"/>
        </w:rPr>
        <w:t>“</w:t>
      </w:r>
      <w:r>
        <w:rPr>
          <w:rFonts w:eastAsia="MS Mincho"/>
          <w:lang w:val="en-US" w:eastAsia="zh-CN"/>
        </w:rPr>
        <w:t>WF on Operator Protection in EMC Specification</w:t>
      </w:r>
      <w:r>
        <w:rPr>
          <w:lang w:val="en-US" w:eastAsia="zh-CN"/>
        </w:rPr>
        <w:t>”</w:t>
      </w:r>
      <w:r>
        <w:rPr>
          <w:rFonts w:hint="eastAsia"/>
          <w:lang w:val="en-US" w:eastAsia="zh-CN"/>
        </w:rPr>
        <w:t>, ZTE, Ericsson, Huawei</w:t>
      </w:r>
    </w:p>
    <w:p>
      <w:pPr>
        <w:pStyle w:val="120"/>
        <w:numPr>
          <w:ilvl w:val="0"/>
          <w:numId w:val="7"/>
        </w:numPr>
        <w:rPr>
          <w:lang w:eastAsia="zh-CN"/>
        </w:rPr>
      </w:pPr>
      <w:r>
        <w:rPr>
          <w:rFonts w:hint="eastAsia"/>
          <w:lang w:eastAsia="zh-CN"/>
        </w:rPr>
        <w:t>ICNIRP GUIDELINESFOR LIMITING EXPOSURE TO TIME‐VARYINGELECTRIC, MAGNETIC AND ELECTROMAGNETICFIELDS (UP TO 300 GHZ)</w:t>
      </w:r>
    </w:p>
    <w:p>
      <w:pPr>
        <w:pStyle w:val="120"/>
        <w:numPr>
          <w:ilvl w:val="0"/>
          <w:numId w:val="7"/>
        </w:numPr>
        <w:rPr>
          <w:lang w:eastAsia="zh-CN"/>
        </w:rPr>
      </w:pPr>
      <w:r>
        <w:rPr>
          <w:rFonts w:hint="eastAsia" w:eastAsia="宋体"/>
          <w:lang w:val="en-US" w:eastAsia="zh-CN"/>
        </w:rPr>
        <w:t xml:space="preserve">R4-1710559, </w:t>
      </w:r>
      <w:r>
        <w:rPr>
          <w:rFonts w:eastAsia="宋体"/>
          <w:lang w:val="en-US" w:eastAsia="zh-CN"/>
        </w:rPr>
        <w:t>“Discussion on EMF Exposure of NR BS”</w:t>
      </w:r>
      <w:r>
        <w:rPr>
          <w:rFonts w:hint="eastAsia" w:eastAsia="宋体"/>
          <w:lang w:val="en-US" w:eastAsia="zh-CN"/>
        </w:rPr>
        <w:t>, ZTE</w:t>
      </w:r>
    </w:p>
    <w:p>
      <w:pPr>
        <w:pStyle w:val="120"/>
        <w:numPr>
          <w:ilvl w:val="0"/>
          <w:numId w:val="7"/>
        </w:numPr>
        <w:rPr>
          <w:lang w:eastAsia="zh-CN"/>
        </w:rPr>
      </w:pPr>
      <w:r>
        <w:rPr>
          <w:rFonts w:hint="eastAsia"/>
          <w:lang w:val="en-US" w:eastAsia="zh-CN"/>
        </w:rPr>
        <w:t>IEC 61000-4-2 Electromagnetic compatibility (EMC) –Part 4-2: Testing and measurement techniques – Electrostatic discharge immunity test.</w:t>
      </w:r>
    </w:p>
    <w:p>
      <w:pPr>
        <w:pStyle w:val="120"/>
        <w:numPr>
          <w:ilvl w:val="255"/>
          <w:numId w:val="0"/>
        </w:numPr>
        <w:tabs>
          <w:tab w:val="clear" w:pos="360"/>
        </w:tabs>
        <w:ind w:left="0" w:firstLine="0"/>
        <w:rPr>
          <w:lang w:eastAsia="zh-CN"/>
        </w:rPr>
      </w:pPr>
    </w:p>
    <w:p/>
    <w:p>
      <w:pPr>
        <w:pStyle w:val="120"/>
        <w:numPr>
          <w:ilvl w:val="0"/>
          <w:numId w:val="0"/>
        </w:numPr>
        <w:ind w:left="360"/>
        <w:rPr>
          <w:lang w:eastAsia="zh-CN"/>
        </w:rPr>
      </w:pP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Latha"/>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18"/>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0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20"/>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1134"/>
        </w:tabs>
        <w:ind w:left="-1134" w:hanging="576"/>
      </w:pPr>
      <w:rPr>
        <w:rFonts w:hint="default"/>
        <w:color w:val="000000"/>
        <w:u w:val="none"/>
      </w:rPr>
    </w:lvl>
    <w:lvl w:ilvl="2" w:tentative="0">
      <w:start w:val="1"/>
      <w:numFmt w:val="decimal"/>
      <w:lvlText w:val="%1.%2.%3"/>
      <w:lvlJc w:val="left"/>
      <w:pPr>
        <w:tabs>
          <w:tab w:val="left" w:pos="-848"/>
        </w:tabs>
        <w:ind w:left="-848" w:hanging="720"/>
      </w:pPr>
      <w:rPr>
        <w:rFonts w:hint="default"/>
        <w:u w:val="none"/>
      </w:rPr>
    </w:lvl>
    <w:lvl w:ilvl="3" w:tentative="0">
      <w:start w:val="1"/>
      <w:numFmt w:val="decimal"/>
      <w:lvlText w:val="%1.%2.%3.%4"/>
      <w:lvlJc w:val="left"/>
      <w:pPr>
        <w:tabs>
          <w:tab w:val="left" w:pos="-846"/>
        </w:tabs>
        <w:ind w:left="-846" w:hanging="864"/>
      </w:pPr>
      <w:rPr>
        <w:rFonts w:hint="default"/>
        <w:u w:val="none"/>
      </w:rPr>
    </w:lvl>
    <w:lvl w:ilvl="4" w:tentative="0">
      <w:start w:val="1"/>
      <w:numFmt w:val="decimal"/>
      <w:lvlText w:val="%1.%2.%3.%4.%5"/>
      <w:lvlJc w:val="left"/>
      <w:pPr>
        <w:tabs>
          <w:tab w:val="left" w:pos="-702"/>
        </w:tabs>
        <w:ind w:left="-702" w:hanging="1008"/>
      </w:pPr>
      <w:rPr>
        <w:rFonts w:hint="default"/>
      </w:rPr>
    </w:lvl>
    <w:lvl w:ilvl="5" w:tentative="0">
      <w:start w:val="1"/>
      <w:numFmt w:val="decimal"/>
      <w:lvlText w:val="%1.%2.%3.%4.%5.%6"/>
      <w:lvlJc w:val="left"/>
      <w:pPr>
        <w:tabs>
          <w:tab w:val="left" w:pos="-558"/>
        </w:tabs>
        <w:ind w:left="-558" w:hanging="1152"/>
      </w:pPr>
      <w:rPr>
        <w:rFonts w:hint="default"/>
      </w:rPr>
    </w:lvl>
    <w:lvl w:ilvl="6" w:tentative="0">
      <w:start w:val="1"/>
      <w:numFmt w:val="decimal"/>
      <w:lvlText w:val="%1.%2.%3.%4.%5.%6.%7"/>
      <w:lvlJc w:val="left"/>
      <w:pPr>
        <w:tabs>
          <w:tab w:val="left" w:pos="-414"/>
        </w:tabs>
        <w:ind w:left="-414" w:hanging="1296"/>
      </w:pPr>
      <w:rPr>
        <w:rFonts w:hint="default"/>
      </w:rPr>
    </w:lvl>
    <w:lvl w:ilvl="7" w:tentative="0">
      <w:start w:val="1"/>
      <w:numFmt w:val="decimal"/>
      <w:pStyle w:val="10"/>
      <w:lvlText w:val="%1.%2.%3.%4.%5.%6.%7.%8"/>
      <w:lvlJc w:val="left"/>
      <w:pPr>
        <w:tabs>
          <w:tab w:val="left" w:pos="-270"/>
        </w:tabs>
        <w:ind w:left="-270" w:hanging="1440"/>
      </w:pPr>
      <w:rPr>
        <w:rFonts w:hint="default"/>
      </w:rPr>
    </w:lvl>
    <w:lvl w:ilvl="8" w:tentative="0">
      <w:start w:val="1"/>
      <w:numFmt w:val="decimal"/>
      <w:pStyle w:val="11"/>
      <w:lvlText w:val="%1.%2.%3.%4.%5.%6.%7.%8.%9"/>
      <w:lvlJc w:val="left"/>
      <w:pPr>
        <w:tabs>
          <w:tab w:val="left" w:pos="-126"/>
        </w:tabs>
        <w:ind w:left="-126" w:hanging="1584"/>
      </w:pPr>
      <w:rPr>
        <w:rFonts w:hint="default"/>
      </w:rPr>
    </w:lvl>
  </w:abstractNum>
  <w:abstractNum w:abstractNumId="5">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5"/>
  </w:num>
  <w:num w:numId="4">
    <w:abstractNumId w:val="1"/>
  </w:num>
  <w:num w:numId="5">
    <w:abstractNumId w:val="0"/>
  </w:num>
  <w:num w:numId="6">
    <w:abstractNumId w:val="2"/>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69"/>
  <w:bordersDoNotSurroundHeader w:val="1"/>
  <w:bordersDoNotSurroundFooter w:val="1"/>
  <w:documentProtection w:enforcement="0"/>
  <w:defaultTabStop w:val="284"/>
  <w:doNotHyphenateCaps/>
  <w:drawingGridHorizontalSpacing w:val="100"/>
  <w:doNotShadeFormData w:val="1"/>
  <w:noPunctuationKerning w:val="1"/>
  <w:characterSpacingControl w:val="doNotCompress"/>
  <w:footnotePr>
    <w:numRestart w:val="eachSect"/>
  </w:footnotePr>
  <w:compat>
    <w:doNotExpandShiftReturn/>
    <w:useFELayout/>
    <w:compatSetting w:name="compatibilityMode" w:uri="http://schemas.microsoft.com/office/word" w:val="12"/>
  </w:compat>
  <w:rsids>
    <w:rsidRoot w:val="00172A27"/>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7A5"/>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DC5"/>
    <w:rsid w:val="000576DC"/>
    <w:rsid w:val="00057979"/>
    <w:rsid w:val="00057DF1"/>
    <w:rsid w:val="00057EB2"/>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3D0F"/>
    <w:rsid w:val="0006418F"/>
    <w:rsid w:val="00064B1C"/>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85A"/>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842"/>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5A59"/>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8C5"/>
    <w:rsid w:val="00172A27"/>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22B"/>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B30"/>
    <w:rsid w:val="00201E9D"/>
    <w:rsid w:val="0020217B"/>
    <w:rsid w:val="00202745"/>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199"/>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BE3"/>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13"/>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6C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1BE"/>
    <w:rsid w:val="002E1239"/>
    <w:rsid w:val="002E13EC"/>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3670"/>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6F6"/>
    <w:rsid w:val="0034495C"/>
    <w:rsid w:val="00344DAD"/>
    <w:rsid w:val="00345392"/>
    <w:rsid w:val="0034576D"/>
    <w:rsid w:val="00345F0D"/>
    <w:rsid w:val="003465DF"/>
    <w:rsid w:val="003469AE"/>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7782B"/>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3F1D"/>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4A9"/>
    <w:rsid w:val="003B56A2"/>
    <w:rsid w:val="003B5B17"/>
    <w:rsid w:val="003B5BD3"/>
    <w:rsid w:val="003B6511"/>
    <w:rsid w:val="003B6597"/>
    <w:rsid w:val="003B674F"/>
    <w:rsid w:val="003B68E3"/>
    <w:rsid w:val="003B73D4"/>
    <w:rsid w:val="003B7949"/>
    <w:rsid w:val="003B7964"/>
    <w:rsid w:val="003B7A80"/>
    <w:rsid w:val="003C0CD5"/>
    <w:rsid w:val="003C0DC8"/>
    <w:rsid w:val="003C0FFC"/>
    <w:rsid w:val="003C1E98"/>
    <w:rsid w:val="003C2A81"/>
    <w:rsid w:val="003C2C86"/>
    <w:rsid w:val="003C329E"/>
    <w:rsid w:val="003C3504"/>
    <w:rsid w:val="003C3874"/>
    <w:rsid w:val="003C425D"/>
    <w:rsid w:val="003C432D"/>
    <w:rsid w:val="003C4432"/>
    <w:rsid w:val="003C4A70"/>
    <w:rsid w:val="003C50D6"/>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4F4"/>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1F1"/>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045"/>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6D3"/>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4D3F"/>
    <w:rsid w:val="00455071"/>
    <w:rsid w:val="00455286"/>
    <w:rsid w:val="004553C7"/>
    <w:rsid w:val="00455652"/>
    <w:rsid w:val="00455EF9"/>
    <w:rsid w:val="0045628E"/>
    <w:rsid w:val="004562C0"/>
    <w:rsid w:val="004568AA"/>
    <w:rsid w:val="00456CC2"/>
    <w:rsid w:val="00456E51"/>
    <w:rsid w:val="00457191"/>
    <w:rsid w:val="0045748A"/>
    <w:rsid w:val="00457538"/>
    <w:rsid w:val="00457620"/>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DA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D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9CF"/>
    <w:rsid w:val="00487246"/>
    <w:rsid w:val="00487341"/>
    <w:rsid w:val="00487589"/>
    <w:rsid w:val="00487591"/>
    <w:rsid w:val="00487948"/>
    <w:rsid w:val="00487BA4"/>
    <w:rsid w:val="00490025"/>
    <w:rsid w:val="0049035E"/>
    <w:rsid w:val="00490558"/>
    <w:rsid w:val="004906F8"/>
    <w:rsid w:val="00491C54"/>
    <w:rsid w:val="00491D74"/>
    <w:rsid w:val="00491DF1"/>
    <w:rsid w:val="00491EA9"/>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13"/>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1BA"/>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528"/>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282"/>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3B1"/>
    <w:rsid w:val="00541D7D"/>
    <w:rsid w:val="00541E30"/>
    <w:rsid w:val="005420FA"/>
    <w:rsid w:val="00542CB1"/>
    <w:rsid w:val="0054335A"/>
    <w:rsid w:val="0054367C"/>
    <w:rsid w:val="0054450F"/>
    <w:rsid w:val="005446D8"/>
    <w:rsid w:val="00544799"/>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95F"/>
    <w:rsid w:val="00551D48"/>
    <w:rsid w:val="00551F93"/>
    <w:rsid w:val="00552D1E"/>
    <w:rsid w:val="00552EF8"/>
    <w:rsid w:val="0055320C"/>
    <w:rsid w:val="00553326"/>
    <w:rsid w:val="00553781"/>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AA7"/>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7B8"/>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726B"/>
    <w:rsid w:val="005E74D5"/>
    <w:rsid w:val="005E7595"/>
    <w:rsid w:val="005E7C77"/>
    <w:rsid w:val="005F062C"/>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43C"/>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4C"/>
    <w:rsid w:val="00645C98"/>
    <w:rsid w:val="00645E83"/>
    <w:rsid w:val="0064650E"/>
    <w:rsid w:val="006467D4"/>
    <w:rsid w:val="006469A6"/>
    <w:rsid w:val="00646E94"/>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79F"/>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69"/>
    <w:rsid w:val="006B0649"/>
    <w:rsid w:val="006B06C4"/>
    <w:rsid w:val="006B0C0C"/>
    <w:rsid w:val="006B167D"/>
    <w:rsid w:val="006B1D1A"/>
    <w:rsid w:val="006B2404"/>
    <w:rsid w:val="006B24BD"/>
    <w:rsid w:val="006B2B79"/>
    <w:rsid w:val="006B3457"/>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615"/>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A89"/>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9A"/>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365"/>
    <w:rsid w:val="00757435"/>
    <w:rsid w:val="007575A9"/>
    <w:rsid w:val="0075767F"/>
    <w:rsid w:val="00757946"/>
    <w:rsid w:val="007579D1"/>
    <w:rsid w:val="00757ACE"/>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0FA"/>
    <w:rsid w:val="00770154"/>
    <w:rsid w:val="007702E3"/>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222"/>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3E4"/>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4EF1"/>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74E"/>
    <w:rsid w:val="007B4EAD"/>
    <w:rsid w:val="007B512A"/>
    <w:rsid w:val="007B55D3"/>
    <w:rsid w:val="007B5ED4"/>
    <w:rsid w:val="007B607E"/>
    <w:rsid w:val="007B6426"/>
    <w:rsid w:val="007B6910"/>
    <w:rsid w:val="007B6F0D"/>
    <w:rsid w:val="007B6F8F"/>
    <w:rsid w:val="007B7BC1"/>
    <w:rsid w:val="007B7DA0"/>
    <w:rsid w:val="007B7E92"/>
    <w:rsid w:val="007C0610"/>
    <w:rsid w:val="007C0691"/>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D5"/>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01E"/>
    <w:rsid w:val="007F221B"/>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12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65B"/>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2E"/>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AEF"/>
    <w:rsid w:val="00875B4B"/>
    <w:rsid w:val="00875C16"/>
    <w:rsid w:val="0087626C"/>
    <w:rsid w:val="008763A3"/>
    <w:rsid w:val="00876527"/>
    <w:rsid w:val="0087674E"/>
    <w:rsid w:val="00876D6C"/>
    <w:rsid w:val="00876F38"/>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234"/>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9A9"/>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A4"/>
    <w:rsid w:val="008D54A8"/>
    <w:rsid w:val="008D55B2"/>
    <w:rsid w:val="008D55D4"/>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8C3"/>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023"/>
    <w:rsid w:val="00987838"/>
    <w:rsid w:val="00990255"/>
    <w:rsid w:val="00990366"/>
    <w:rsid w:val="009903B2"/>
    <w:rsid w:val="0099092A"/>
    <w:rsid w:val="00990B7E"/>
    <w:rsid w:val="00990C9A"/>
    <w:rsid w:val="00990E51"/>
    <w:rsid w:val="00991B46"/>
    <w:rsid w:val="00991D8C"/>
    <w:rsid w:val="00991D8D"/>
    <w:rsid w:val="009921D1"/>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7D3"/>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6EBC"/>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0EE"/>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0A"/>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D62"/>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B09"/>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5A4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13"/>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273"/>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8C4"/>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34F"/>
    <w:rsid w:val="00B57715"/>
    <w:rsid w:val="00B6071F"/>
    <w:rsid w:val="00B60BC9"/>
    <w:rsid w:val="00B60D9A"/>
    <w:rsid w:val="00B6124B"/>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92B"/>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1F9"/>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36"/>
    <w:rsid w:val="00BB13BC"/>
    <w:rsid w:val="00BB1563"/>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B29"/>
    <w:rsid w:val="00BD0DEF"/>
    <w:rsid w:val="00BD1137"/>
    <w:rsid w:val="00BD120E"/>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2C"/>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554D"/>
    <w:rsid w:val="00C760AC"/>
    <w:rsid w:val="00C7612E"/>
    <w:rsid w:val="00C76613"/>
    <w:rsid w:val="00C766F3"/>
    <w:rsid w:val="00C76773"/>
    <w:rsid w:val="00C76A6A"/>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5E64"/>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44F"/>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EB3"/>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10C"/>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F4C"/>
    <w:rsid w:val="00DD6E0E"/>
    <w:rsid w:val="00DD7260"/>
    <w:rsid w:val="00DD791C"/>
    <w:rsid w:val="00DE0175"/>
    <w:rsid w:val="00DE033D"/>
    <w:rsid w:val="00DE0A89"/>
    <w:rsid w:val="00DE1948"/>
    <w:rsid w:val="00DE207E"/>
    <w:rsid w:val="00DE24DF"/>
    <w:rsid w:val="00DE24E5"/>
    <w:rsid w:val="00DE2514"/>
    <w:rsid w:val="00DE26DC"/>
    <w:rsid w:val="00DE2811"/>
    <w:rsid w:val="00DE33D1"/>
    <w:rsid w:val="00DE34DB"/>
    <w:rsid w:val="00DE3B51"/>
    <w:rsid w:val="00DE3DFD"/>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CF2"/>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7EC"/>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35E"/>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EF9"/>
    <w:rsid w:val="00ED707E"/>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0DC0"/>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797"/>
    <w:rsid w:val="00FA2A02"/>
    <w:rsid w:val="00FA31DD"/>
    <w:rsid w:val="00FA3312"/>
    <w:rsid w:val="00FA3D7B"/>
    <w:rsid w:val="00FA45D8"/>
    <w:rsid w:val="00FA47A1"/>
    <w:rsid w:val="00FA4960"/>
    <w:rsid w:val="00FA4B9C"/>
    <w:rsid w:val="00FA50E2"/>
    <w:rsid w:val="00FA51E8"/>
    <w:rsid w:val="00FA5302"/>
    <w:rsid w:val="00FA5868"/>
    <w:rsid w:val="00FA5D13"/>
    <w:rsid w:val="00FA6335"/>
    <w:rsid w:val="00FA6D3E"/>
    <w:rsid w:val="00FA6F91"/>
    <w:rsid w:val="00FA77BB"/>
    <w:rsid w:val="00FA7B41"/>
    <w:rsid w:val="00FA7BD8"/>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834"/>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D4D"/>
    <w:rsid w:val="00FF6FA7"/>
    <w:rsid w:val="00FF7186"/>
    <w:rsid w:val="00FF71DF"/>
    <w:rsid w:val="00FF73C6"/>
    <w:rsid w:val="00FF765F"/>
    <w:rsid w:val="00FF7F9C"/>
    <w:rsid w:val="015B4BD8"/>
    <w:rsid w:val="01B77B08"/>
    <w:rsid w:val="020A25E1"/>
    <w:rsid w:val="027A502E"/>
    <w:rsid w:val="028970AF"/>
    <w:rsid w:val="02FF2814"/>
    <w:rsid w:val="032C2982"/>
    <w:rsid w:val="03504ED0"/>
    <w:rsid w:val="05753943"/>
    <w:rsid w:val="059D2FF1"/>
    <w:rsid w:val="05B756FF"/>
    <w:rsid w:val="061A7AFC"/>
    <w:rsid w:val="063661FF"/>
    <w:rsid w:val="06D2005A"/>
    <w:rsid w:val="06D530FA"/>
    <w:rsid w:val="06FB1A29"/>
    <w:rsid w:val="07284966"/>
    <w:rsid w:val="07BC3585"/>
    <w:rsid w:val="08807FB4"/>
    <w:rsid w:val="09134B1F"/>
    <w:rsid w:val="0A1C5DCD"/>
    <w:rsid w:val="0BB2714A"/>
    <w:rsid w:val="0BEA22E8"/>
    <w:rsid w:val="0C283A42"/>
    <w:rsid w:val="0D135F3B"/>
    <w:rsid w:val="0E785FAD"/>
    <w:rsid w:val="0EE12D38"/>
    <w:rsid w:val="11AD43EE"/>
    <w:rsid w:val="12260ED3"/>
    <w:rsid w:val="12485187"/>
    <w:rsid w:val="12EC2312"/>
    <w:rsid w:val="14937C2F"/>
    <w:rsid w:val="14DC4E9F"/>
    <w:rsid w:val="14F651F7"/>
    <w:rsid w:val="15F4362E"/>
    <w:rsid w:val="162B5A99"/>
    <w:rsid w:val="197D66B5"/>
    <w:rsid w:val="1A662586"/>
    <w:rsid w:val="1BCD0580"/>
    <w:rsid w:val="1BCF66A6"/>
    <w:rsid w:val="1BE85DF6"/>
    <w:rsid w:val="1D042573"/>
    <w:rsid w:val="1D0F5B8F"/>
    <w:rsid w:val="1D651CC5"/>
    <w:rsid w:val="1E165F00"/>
    <w:rsid w:val="1F36129C"/>
    <w:rsid w:val="1F596C69"/>
    <w:rsid w:val="1FC17807"/>
    <w:rsid w:val="207B1EF2"/>
    <w:rsid w:val="21B338BA"/>
    <w:rsid w:val="21E8388F"/>
    <w:rsid w:val="22343FE7"/>
    <w:rsid w:val="232E5E77"/>
    <w:rsid w:val="238573A2"/>
    <w:rsid w:val="238E14E9"/>
    <w:rsid w:val="23C15D3F"/>
    <w:rsid w:val="241A4DD3"/>
    <w:rsid w:val="24B64F84"/>
    <w:rsid w:val="267F5BFF"/>
    <w:rsid w:val="26DC4DD3"/>
    <w:rsid w:val="26F421DA"/>
    <w:rsid w:val="2A905AE7"/>
    <w:rsid w:val="2BCF4EA2"/>
    <w:rsid w:val="2BFB227F"/>
    <w:rsid w:val="2BFB3CA4"/>
    <w:rsid w:val="2C727B9F"/>
    <w:rsid w:val="2C970937"/>
    <w:rsid w:val="2E29326D"/>
    <w:rsid w:val="2EAC14AF"/>
    <w:rsid w:val="2EE77330"/>
    <w:rsid w:val="2EF04501"/>
    <w:rsid w:val="305A0A3C"/>
    <w:rsid w:val="30CF3335"/>
    <w:rsid w:val="322D7767"/>
    <w:rsid w:val="323E0DDC"/>
    <w:rsid w:val="32DF6D48"/>
    <w:rsid w:val="32ED0617"/>
    <w:rsid w:val="32F535CC"/>
    <w:rsid w:val="33580F91"/>
    <w:rsid w:val="34565A31"/>
    <w:rsid w:val="347A4AE3"/>
    <w:rsid w:val="350969F0"/>
    <w:rsid w:val="358061FD"/>
    <w:rsid w:val="365B753C"/>
    <w:rsid w:val="3698083A"/>
    <w:rsid w:val="384440DE"/>
    <w:rsid w:val="390F72D5"/>
    <w:rsid w:val="399B5262"/>
    <w:rsid w:val="39CF474D"/>
    <w:rsid w:val="3A1B4A42"/>
    <w:rsid w:val="3B251269"/>
    <w:rsid w:val="3BD8759B"/>
    <w:rsid w:val="3C5754A1"/>
    <w:rsid w:val="3C7C40AE"/>
    <w:rsid w:val="3D8B2492"/>
    <w:rsid w:val="3D8E2693"/>
    <w:rsid w:val="3DB526B7"/>
    <w:rsid w:val="3DD81F75"/>
    <w:rsid w:val="402F695F"/>
    <w:rsid w:val="4030386E"/>
    <w:rsid w:val="4030527F"/>
    <w:rsid w:val="4143584C"/>
    <w:rsid w:val="42D0126D"/>
    <w:rsid w:val="435B4C75"/>
    <w:rsid w:val="43922E8C"/>
    <w:rsid w:val="445F20CA"/>
    <w:rsid w:val="447E3FDB"/>
    <w:rsid w:val="44F263E2"/>
    <w:rsid w:val="466921D9"/>
    <w:rsid w:val="472754FB"/>
    <w:rsid w:val="4A1C3297"/>
    <w:rsid w:val="4A640379"/>
    <w:rsid w:val="4B9C20B1"/>
    <w:rsid w:val="4DC07E3A"/>
    <w:rsid w:val="4F9341E2"/>
    <w:rsid w:val="51064A1B"/>
    <w:rsid w:val="519B4793"/>
    <w:rsid w:val="52050E68"/>
    <w:rsid w:val="531F4E09"/>
    <w:rsid w:val="532A17EA"/>
    <w:rsid w:val="54EE2D08"/>
    <w:rsid w:val="55E14034"/>
    <w:rsid w:val="577256AC"/>
    <w:rsid w:val="585B0B8D"/>
    <w:rsid w:val="59AE0F87"/>
    <w:rsid w:val="59DE312D"/>
    <w:rsid w:val="5A3F0530"/>
    <w:rsid w:val="5A4B1537"/>
    <w:rsid w:val="5AF103DE"/>
    <w:rsid w:val="5B6B761B"/>
    <w:rsid w:val="5BE302F4"/>
    <w:rsid w:val="5C0C74F2"/>
    <w:rsid w:val="5C445C79"/>
    <w:rsid w:val="5C924D43"/>
    <w:rsid w:val="5D485357"/>
    <w:rsid w:val="5D777372"/>
    <w:rsid w:val="5E4D26D1"/>
    <w:rsid w:val="5ECA4F01"/>
    <w:rsid w:val="5F396C44"/>
    <w:rsid w:val="617877E8"/>
    <w:rsid w:val="61AE7B55"/>
    <w:rsid w:val="61BC4DA9"/>
    <w:rsid w:val="62E12A2A"/>
    <w:rsid w:val="63433A5B"/>
    <w:rsid w:val="637926BC"/>
    <w:rsid w:val="63EA2115"/>
    <w:rsid w:val="64353CE0"/>
    <w:rsid w:val="646E0082"/>
    <w:rsid w:val="67DF1F4B"/>
    <w:rsid w:val="682C4166"/>
    <w:rsid w:val="69363693"/>
    <w:rsid w:val="6A517D7C"/>
    <w:rsid w:val="6A9328F3"/>
    <w:rsid w:val="6BE13BE7"/>
    <w:rsid w:val="6C3915CB"/>
    <w:rsid w:val="6C6A1235"/>
    <w:rsid w:val="6E4C7744"/>
    <w:rsid w:val="6E567166"/>
    <w:rsid w:val="6EB9657A"/>
    <w:rsid w:val="73CB6E59"/>
    <w:rsid w:val="752E6248"/>
    <w:rsid w:val="75F34D73"/>
    <w:rsid w:val="76173B2D"/>
    <w:rsid w:val="765E38DA"/>
    <w:rsid w:val="771B25CD"/>
    <w:rsid w:val="77893739"/>
    <w:rsid w:val="78A9240D"/>
    <w:rsid w:val="78C27C49"/>
    <w:rsid w:val="794F4FEE"/>
    <w:rsid w:val="799A2141"/>
    <w:rsid w:val="799B07AE"/>
    <w:rsid w:val="7A6B20AC"/>
    <w:rsid w:val="7A892423"/>
    <w:rsid w:val="7B014AD2"/>
    <w:rsid w:val="7C6C1F4C"/>
    <w:rsid w:val="7D3E1EBD"/>
    <w:rsid w:val="7DE07863"/>
    <w:rsid w:val="7E29696A"/>
    <w:rsid w:val="7E995BDE"/>
    <w:rsid w:val="7FB235BB"/>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28"/>
      <w:szCs w:val="28"/>
      <w:lang w:val="en-GB" w:eastAsia="en-US" w:bidi="ar-SA"/>
    </w:rPr>
  </w:style>
  <w:style w:type="paragraph" w:styleId="3">
    <w:name w:val="heading 2"/>
    <w:basedOn w:val="2"/>
    <w:next w:val="1"/>
    <w:link w:val="138"/>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0"/>
      </w:numPr>
      <w:spacing w:before="120"/>
      <w:outlineLvl w:val="2"/>
    </w:pPr>
  </w:style>
  <w:style w:type="paragraph" w:styleId="5">
    <w:name w:val="heading 4"/>
    <w:basedOn w:val="4"/>
    <w:next w:val="1"/>
    <w:link w:val="13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ind w:left="1985" w:hanging="1985"/>
      <w:outlineLvl w:val="5"/>
    </w:pPr>
  </w:style>
  <w:style w:type="paragraph" w:styleId="9">
    <w:name w:val="heading 7"/>
    <w:basedOn w:val="8"/>
    <w:next w:val="1"/>
    <w:qFormat/>
    <w:uiPriority w:val="0"/>
    <w:pPr>
      <w:numPr>
        <w:ilvl w:val="6"/>
      </w:numPr>
      <w:tabs>
        <w:tab w:val="left" w:pos="432"/>
      </w:tabs>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6">
    <w:name w:val="Default Paragraph Font"/>
    <w:unhideWhenUsed/>
    <w:qFormat/>
    <w:uiPriority w:val="1"/>
  </w:style>
  <w:style w:type="table" w:default="1" w:styleId="53">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8"/>
    <w:qFormat/>
    <w:uiPriority w:val="0"/>
    <w:rPr>
      <w:b/>
      <w:bCs/>
    </w:rPr>
  </w:style>
  <w:style w:type="paragraph" w:styleId="16">
    <w:name w:val="annotation text"/>
    <w:basedOn w:val="1"/>
    <w:link w:val="119"/>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200" w:line="276"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4"/>
    <w:unhideWhenUsed/>
    <w:qFormat/>
    <w:uiPriority w:val="0"/>
    <w:rPr>
      <w:rFonts w:ascii="Cambria" w:hAnsi="Cambria" w:eastAsia="黑体"/>
    </w:rPr>
  </w:style>
  <w:style w:type="paragraph" w:styleId="31">
    <w:name w:val="Document Map"/>
    <w:basedOn w:val="1"/>
    <w:link w:val="127"/>
    <w:qFormat/>
    <w:uiPriority w:val="0"/>
    <w:pPr>
      <w:shd w:val="clear" w:color="auto" w:fill="000080"/>
    </w:pPr>
    <w:rPr>
      <w:rFonts w:ascii="Tahoma" w:hAnsi="Tahoma"/>
    </w:rPr>
  </w:style>
  <w:style w:type="paragraph" w:styleId="32">
    <w:name w:val="Body Text"/>
    <w:basedOn w:val="1"/>
    <w:link w:val="100"/>
    <w:qFormat/>
    <w:uiPriority w:val="0"/>
    <w:pPr>
      <w:spacing w:after="0"/>
    </w:pPr>
    <w:rPr>
      <w:sz w:val="24"/>
      <w:szCs w:val="24"/>
      <w:lang w:val="en-US"/>
    </w:rPr>
  </w:style>
  <w:style w:type="paragraph" w:styleId="33">
    <w:name w:val="Body Text Indent"/>
    <w:basedOn w:val="1"/>
    <w:link w:val="136"/>
    <w:qFormat/>
    <w:uiPriority w:val="0"/>
    <w:pPr>
      <w:spacing w:after="120"/>
      <w:ind w:left="360"/>
    </w:pPr>
  </w:style>
  <w:style w:type="paragraph" w:styleId="34">
    <w:name w:val="List Bullet 5"/>
    <w:basedOn w:val="26"/>
    <w:qFormat/>
    <w:uiPriority w:val="0"/>
    <w:pPr>
      <w:ind w:left="1702"/>
    </w:pPr>
  </w:style>
  <w:style w:type="paragraph" w:styleId="35">
    <w:name w:val="toc 8"/>
    <w:basedOn w:val="23"/>
    <w:next w:val="1"/>
    <w:qFormat/>
    <w:uiPriority w:val="39"/>
    <w:pPr>
      <w:spacing w:before="180"/>
      <w:ind w:left="2693" w:hanging="2693"/>
    </w:pPr>
    <w:rPr>
      <w:b/>
    </w:rPr>
  </w:style>
  <w:style w:type="paragraph" w:styleId="36">
    <w:name w:val="Balloon Text"/>
    <w:basedOn w:val="1"/>
    <w:link w:val="129"/>
    <w:qFormat/>
    <w:uiPriority w:val="0"/>
    <w:rPr>
      <w:rFonts w:ascii="Tahoma" w:hAnsi="Tahoma"/>
      <w:sz w:val="16"/>
      <w:szCs w:val="16"/>
    </w:rPr>
  </w:style>
  <w:style w:type="paragraph" w:styleId="37">
    <w:name w:val="footer"/>
    <w:basedOn w:val="38"/>
    <w:qFormat/>
    <w:uiPriority w:val="0"/>
    <w:pPr>
      <w:jc w:val="center"/>
    </w:pPr>
    <w:rPr>
      <w:i/>
    </w:rPr>
  </w:style>
  <w:style w:type="paragraph" w:styleId="38">
    <w:name w:val="header"/>
    <w:link w:val="111"/>
    <w:qFormat/>
    <w:uiPriority w:val="0"/>
    <w:pPr>
      <w:widowControl w:val="0"/>
      <w:spacing w:after="200" w:line="276" w:lineRule="auto"/>
    </w:pPr>
    <w:rPr>
      <w:rFonts w:ascii="Arial" w:hAnsi="Arial" w:eastAsia="宋体" w:cs="Times New Roman"/>
      <w:b/>
      <w:sz w:val="18"/>
      <w:lang w:val="en-GB" w:eastAsia="en-US" w:bidi="ar-SA"/>
    </w:rPr>
  </w:style>
  <w:style w:type="paragraph" w:styleId="39">
    <w:name w:val="footnote text"/>
    <w:basedOn w:val="1"/>
    <w:link w:val="13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character" w:styleId="47">
    <w:name w:val="page number"/>
    <w:basedOn w:val="46"/>
    <w:qFormat/>
    <w:uiPriority w:val="0"/>
  </w:style>
  <w:style w:type="character" w:styleId="48">
    <w:name w:val="FollowedHyperlink"/>
    <w:basedOn w:val="46"/>
    <w:qFormat/>
    <w:uiPriority w:val="0"/>
    <w:rPr>
      <w:color w:val="800080"/>
      <w:u w:val="single"/>
    </w:rPr>
  </w:style>
  <w:style w:type="character" w:styleId="49">
    <w:name w:val="Emphasis"/>
    <w:basedOn w:val="46"/>
    <w:qFormat/>
    <w:uiPriority w:val="0"/>
    <w:rPr>
      <w:i/>
      <w:iCs/>
    </w:rPr>
  </w:style>
  <w:style w:type="character" w:styleId="50">
    <w:name w:val="Hyperlink"/>
    <w:basedOn w:val="46"/>
    <w:qFormat/>
    <w:uiPriority w:val="0"/>
    <w:rPr>
      <w:color w:val="0000FF"/>
      <w:u w:val="single"/>
    </w:rPr>
  </w:style>
  <w:style w:type="character" w:styleId="51">
    <w:name w:val="annotation reference"/>
    <w:basedOn w:val="46"/>
    <w:qFormat/>
    <w:uiPriority w:val="99"/>
    <w:rPr>
      <w:sz w:val="16"/>
    </w:rPr>
  </w:style>
  <w:style w:type="character" w:styleId="52">
    <w:name w:val="footnote reference"/>
    <w:basedOn w:val="46"/>
    <w:qFormat/>
    <w:uiPriority w:val="0"/>
    <w:rPr>
      <w:b/>
      <w:position w:val="6"/>
      <w:sz w:val="16"/>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spacing w:after="200" w:line="276" w:lineRule="auto"/>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97"/>
    <w:qFormat/>
    <w:uiPriority w:val="0"/>
    <w:pPr>
      <w:jc w:val="center"/>
    </w:pPr>
  </w:style>
  <w:style w:type="paragraph" w:customStyle="1" w:styleId="60">
    <w:name w:val="TAL"/>
    <w:basedOn w:val="1"/>
    <w:link w:val="96"/>
    <w:qFormat/>
    <w:uiPriority w:val="0"/>
    <w:pPr>
      <w:keepNext/>
      <w:keepLines/>
      <w:spacing w:after="0"/>
    </w:pPr>
    <w:rPr>
      <w:rFonts w:ascii="Arial" w:hAnsi="Arial"/>
      <w:sz w:val="18"/>
    </w:rPr>
  </w:style>
  <w:style w:type="paragraph" w:customStyle="1" w:styleId="61">
    <w:name w:val="TF"/>
    <w:basedOn w:val="62"/>
    <w:link w:val="110"/>
    <w:qFormat/>
    <w:uiPriority w:val="0"/>
    <w:pPr>
      <w:keepNext w:val="0"/>
      <w:spacing w:before="0" w:after="240"/>
    </w:pPr>
  </w:style>
  <w:style w:type="paragraph" w:customStyle="1" w:styleId="62">
    <w:name w:val="TH"/>
    <w:basedOn w:val="1"/>
    <w:link w:val="99"/>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link w:val="13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200"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1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spacing w:after="200" w:line="276" w:lineRule="auto"/>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spacing w:after="200" w:line="276" w:lineRule="auto"/>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200" w:line="276" w:lineRule="auto"/>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style>
  <w:style w:type="paragraph" w:customStyle="1" w:styleId="83">
    <w:name w:val="B2"/>
    <w:basedOn w:val="13"/>
    <w:link w:val="102"/>
    <w:qFormat/>
    <w:uiPriority w:val="0"/>
  </w:style>
  <w:style w:type="paragraph" w:customStyle="1" w:styleId="84">
    <w:name w:val="B3"/>
    <w:basedOn w:val="12"/>
    <w:link w:val="103"/>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line="276" w:lineRule="auto"/>
    </w:pPr>
    <w:rPr>
      <w:rFonts w:ascii="Arial" w:hAnsi="Arial" w:eastAsia="宋体" w:cs="Times New Roman"/>
      <w:lang w:val="en-GB" w:eastAsia="en-US" w:bidi="ar-SA"/>
    </w:rPr>
  </w:style>
  <w:style w:type="paragraph" w:customStyle="1" w:styleId="89">
    <w:name w:val="tdoc-header"/>
    <w:qFormat/>
    <w:uiPriority w:val="0"/>
    <w:pPr>
      <w:spacing w:after="200" w:line="276" w:lineRule="auto"/>
    </w:pPr>
    <w:rPr>
      <w:rFonts w:ascii="Arial" w:hAnsi="Arial" w:eastAsia="宋体" w:cs="Times New Roman"/>
      <w:sz w:val="24"/>
      <w:lang w:val="en-GB" w:eastAsia="en-US" w:bidi="ar-SA"/>
    </w:rPr>
  </w:style>
  <w:style w:type="paragraph" w:customStyle="1" w:styleId="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1">
    <w:name w:val="Heading 3.Underrubrik2.H3"/>
    <w:basedOn w:val="90"/>
    <w:next w:val="1"/>
    <w:qFormat/>
    <w:uiPriority w:val="0"/>
    <w:pPr>
      <w:spacing w:before="120"/>
      <w:outlineLvl w:val="2"/>
    </w:pPr>
    <w:rPr>
      <w:sz w:val="28"/>
    </w:rPr>
  </w:style>
  <w:style w:type="paragraph" w:customStyle="1" w:styleId="92">
    <w:name w:val="Reference"/>
    <w:basedOn w:val="1"/>
    <w:qFormat/>
    <w:uiPriority w:val="0"/>
    <w:pPr>
      <w:keepLines/>
      <w:numPr>
        <w:ilvl w:val="1"/>
        <w:numId w:val="2"/>
      </w:numPr>
    </w:pPr>
    <w:rPr>
      <w:rFonts w:eastAsia="MS Mincho"/>
    </w:rPr>
  </w:style>
  <w:style w:type="paragraph" w:customStyle="1" w:styleId="93">
    <w:name w:val="Zchn Zchn"/>
    <w:semiHidden/>
    <w:qFormat/>
    <w:uiPriority w:val="0"/>
    <w:pPr>
      <w:keepNext/>
      <w:numPr>
        <w:ilvl w:val="0"/>
        <w:numId w:val="3"/>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character" w:customStyle="1" w:styleId="94">
    <w:name w:val="B1 Char"/>
    <w:basedOn w:val="46"/>
    <w:link w:val="82"/>
    <w:qFormat/>
    <w:uiPriority w:val="0"/>
    <w:rPr>
      <w:lang w:val="en-GB" w:eastAsia="en-US" w:bidi="ar-SA"/>
    </w:rPr>
  </w:style>
  <w:style w:type="character" w:customStyle="1" w:styleId="95">
    <w:name w:val="NO Char"/>
    <w:basedOn w:val="46"/>
    <w:link w:val="63"/>
    <w:qFormat/>
    <w:uiPriority w:val="0"/>
    <w:rPr>
      <w:lang w:val="en-GB" w:eastAsia="en-US" w:bidi="ar-SA"/>
    </w:rPr>
  </w:style>
  <w:style w:type="character" w:customStyle="1" w:styleId="96">
    <w:name w:val="TAL Car"/>
    <w:basedOn w:val="46"/>
    <w:link w:val="60"/>
    <w:qFormat/>
    <w:uiPriority w:val="0"/>
    <w:rPr>
      <w:rFonts w:ascii="Arial" w:hAnsi="Arial"/>
      <w:sz w:val="18"/>
      <w:lang w:val="en-GB" w:eastAsia="en-US" w:bidi="ar-SA"/>
    </w:rPr>
  </w:style>
  <w:style w:type="character" w:customStyle="1" w:styleId="97">
    <w:name w:val="TAC Char"/>
    <w:basedOn w:val="46"/>
    <w:link w:val="59"/>
    <w:qFormat/>
    <w:uiPriority w:val="0"/>
    <w:rPr>
      <w:rFonts w:ascii="Arial" w:hAnsi="Arial"/>
      <w:sz w:val="18"/>
      <w:lang w:val="en-GB" w:eastAsia="en-US" w:bidi="ar-SA"/>
    </w:rPr>
  </w:style>
  <w:style w:type="character" w:customStyle="1" w:styleId="98">
    <w:name w:val="TAL Char"/>
    <w:basedOn w:val="46"/>
    <w:qFormat/>
    <w:uiPriority w:val="0"/>
    <w:rPr>
      <w:rFonts w:ascii="Arial" w:hAnsi="Arial"/>
      <w:sz w:val="18"/>
      <w:lang w:val="en-GB" w:eastAsia="en-US" w:bidi="ar-SA"/>
    </w:rPr>
  </w:style>
  <w:style w:type="character" w:customStyle="1" w:styleId="99">
    <w:name w:val="TH Char"/>
    <w:basedOn w:val="46"/>
    <w:link w:val="62"/>
    <w:qFormat/>
    <w:uiPriority w:val="0"/>
    <w:rPr>
      <w:rFonts w:ascii="Arial" w:hAnsi="Arial"/>
      <w:b/>
      <w:lang w:val="en-GB" w:eastAsia="en-US" w:bidi="ar-SA"/>
    </w:rPr>
  </w:style>
  <w:style w:type="character" w:customStyle="1" w:styleId="100">
    <w:name w:val="Body Text Char"/>
    <w:basedOn w:val="46"/>
    <w:link w:val="32"/>
    <w:qFormat/>
    <w:uiPriority w:val="0"/>
    <w:rPr>
      <w:sz w:val="24"/>
      <w:szCs w:val="24"/>
      <w:lang w:val="en-US" w:eastAsia="en-US" w:bidi="ar-SA"/>
    </w:rPr>
  </w:style>
  <w:style w:type="character" w:customStyle="1" w:styleId="101">
    <w:name w:val="B1 Char1"/>
    <w:basedOn w:val="46"/>
    <w:qFormat/>
    <w:uiPriority w:val="0"/>
    <w:rPr>
      <w:lang w:val="en-GB" w:eastAsia="ja-JP" w:bidi="ar-SA"/>
    </w:rPr>
  </w:style>
  <w:style w:type="character" w:customStyle="1" w:styleId="102">
    <w:name w:val="B2 Char"/>
    <w:basedOn w:val="46"/>
    <w:link w:val="83"/>
    <w:qFormat/>
    <w:uiPriority w:val="0"/>
    <w:rPr>
      <w:lang w:val="en-GB" w:eastAsia="en-US" w:bidi="ar-SA"/>
    </w:rPr>
  </w:style>
  <w:style w:type="character" w:customStyle="1" w:styleId="103">
    <w:name w:val="B3 Char2"/>
    <w:basedOn w:val="46"/>
    <w:link w:val="84"/>
    <w:qFormat/>
    <w:uiPriority w:val="0"/>
    <w:rPr>
      <w:lang w:val="en-GB" w:eastAsia="en-US" w:bidi="ar-SA"/>
    </w:rPr>
  </w:style>
  <w:style w:type="paragraph" w:customStyle="1" w:styleId="104">
    <w:name w:val="Char Char Char Char Char Char Char Char Char Char2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5">
    <w:name w:val="(文字) (文字)2"/>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6">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7">
    <w:name w:val="B1 (文字)"/>
    <w:basedOn w:val="46"/>
    <w:qFormat/>
    <w:uiPriority w:val="0"/>
    <w:rPr>
      <w:lang w:val="en-GB" w:eastAsia="ja-JP" w:bidi="ar-SA"/>
    </w:rPr>
  </w:style>
  <w:style w:type="character" w:customStyle="1" w:styleId="108">
    <w:name w:val="B1 Zchn"/>
    <w:basedOn w:val="46"/>
    <w:qFormat/>
    <w:uiPriority w:val="0"/>
    <w:rPr>
      <w:rFonts w:eastAsia="MS Mincho"/>
      <w:lang w:val="en-GB"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110">
    <w:name w:val="TF Char"/>
    <w:basedOn w:val="46"/>
    <w:link w:val="61"/>
    <w:qFormat/>
    <w:uiPriority w:val="0"/>
    <w:rPr>
      <w:rFonts w:ascii="Arial" w:hAnsi="Arial"/>
      <w:b/>
      <w:lang w:val="en-GB" w:eastAsia="en-US" w:bidi="ar-SA"/>
    </w:rPr>
  </w:style>
  <w:style w:type="character" w:customStyle="1" w:styleId="111">
    <w:name w:val="Header Char"/>
    <w:basedOn w:val="46"/>
    <w:link w:val="38"/>
    <w:qFormat/>
    <w:uiPriority w:val="0"/>
    <w:rPr>
      <w:rFonts w:ascii="Arial" w:hAnsi="Arial"/>
      <w:b/>
      <w:sz w:val="18"/>
      <w:lang w:val="en-GB" w:eastAsia="en-US" w:bidi="ar-SA"/>
    </w:rPr>
  </w:style>
  <w:style w:type="paragraph" w:customStyle="1" w:styleId="112">
    <w:name w:val="List Paragraph1"/>
    <w:basedOn w:val="1"/>
    <w:link w:val="140"/>
    <w:qFormat/>
    <w:uiPriority w:val="34"/>
    <w:pPr>
      <w:ind w:firstLine="420" w:firstLineChars="200"/>
    </w:pPr>
  </w:style>
  <w:style w:type="character" w:customStyle="1" w:styleId="113">
    <w:name w:val="TAH Car"/>
    <w:basedOn w:val="46"/>
    <w:link w:val="58"/>
    <w:qFormat/>
    <w:uiPriority w:val="0"/>
    <w:rPr>
      <w:rFonts w:ascii="Arial" w:hAnsi="Arial"/>
      <w:b/>
      <w:sz w:val="18"/>
      <w:lang w:val="en-GB" w:eastAsia="en-US"/>
    </w:rPr>
  </w:style>
  <w:style w:type="character" w:customStyle="1" w:styleId="114">
    <w:name w:val="Caption Char"/>
    <w:link w:val="30"/>
    <w:qFormat/>
    <w:uiPriority w:val="0"/>
    <w:rPr>
      <w:rFonts w:ascii="Cambria" w:hAnsi="Cambria" w:eastAsia="黑体"/>
      <w:lang w:val="en-GB" w:eastAsia="en-US"/>
    </w:rPr>
  </w:style>
  <w:style w:type="character" w:customStyle="1" w:styleId="115">
    <w:name w:val="Intense Emphasis1"/>
    <w:basedOn w:val="46"/>
    <w:qFormat/>
    <w:uiPriority w:val="21"/>
    <w:rPr>
      <w:b/>
      <w:bCs/>
      <w:i/>
      <w:iCs/>
      <w:color w:val="4F81BD"/>
    </w:rPr>
  </w:style>
  <w:style w:type="character" w:customStyle="1" w:styleId="116">
    <w:name w:val="TAN Char"/>
    <w:basedOn w:val="96"/>
    <w:link w:val="73"/>
    <w:qFormat/>
    <w:uiPriority w:val="0"/>
    <w:rPr>
      <w:rFonts w:ascii="Arial" w:hAnsi="Arial"/>
      <w:sz w:val="18"/>
      <w:lang w:val="en-GB" w:eastAsia="en-US" w:bidi="ar-SA"/>
    </w:rPr>
  </w:style>
  <w:style w:type="paragraph" w:customStyle="1" w:styleId="117">
    <w:name w:val="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18">
    <w:name w:val="References"/>
    <w:basedOn w:val="1"/>
    <w:next w:val="1"/>
    <w:qFormat/>
    <w:uiPriority w:val="0"/>
    <w:pPr>
      <w:numPr>
        <w:ilvl w:val="0"/>
        <w:numId w:val="5"/>
      </w:numPr>
      <w:autoSpaceDE w:val="0"/>
      <w:autoSpaceDN w:val="0"/>
      <w:snapToGrid w:val="0"/>
      <w:spacing w:after="60"/>
    </w:pPr>
    <w:rPr>
      <w:szCs w:val="16"/>
      <w:lang w:val="en-US"/>
    </w:rPr>
  </w:style>
  <w:style w:type="character" w:customStyle="1" w:styleId="119">
    <w:name w:val="Comment Text Char"/>
    <w:basedOn w:val="46"/>
    <w:link w:val="16"/>
    <w:qFormat/>
    <w:uiPriority w:val="0"/>
    <w:rPr>
      <w:rFonts w:ascii="Times New Roman" w:hAnsi="Times New Roman"/>
      <w:lang w:eastAsia="en-US"/>
    </w:rPr>
  </w:style>
  <w:style w:type="paragraph" w:customStyle="1" w:styleId="120">
    <w:name w:val="参考文献"/>
    <w:basedOn w:val="1"/>
    <w:qFormat/>
    <w:uiPriority w:val="0"/>
    <w:pPr>
      <w:keepLines/>
      <w:numPr>
        <w:ilvl w:val="0"/>
        <w:numId w:val="6"/>
      </w:numPr>
      <w:spacing w:after="0"/>
    </w:pPr>
    <w:rPr>
      <w:rFonts w:eastAsia="MS Mincho"/>
    </w:rPr>
  </w:style>
  <w:style w:type="paragraph" w:customStyle="1" w:styleId="121">
    <w:name w:val="Revision1"/>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22">
    <w:name w:val="3GPP 正文"/>
    <w:basedOn w:val="1"/>
    <w:link w:val="123"/>
    <w:qFormat/>
    <w:uiPriority w:val="0"/>
    <w:rPr>
      <w:lang w:eastAsia="ja-JP"/>
    </w:rPr>
  </w:style>
  <w:style w:type="character" w:customStyle="1" w:styleId="123">
    <w:name w:val="3GPP 正文 Char"/>
    <w:link w:val="122"/>
    <w:qFormat/>
    <w:uiPriority w:val="0"/>
    <w:rPr>
      <w:rFonts w:ascii="Times New Roman" w:hAnsi="Times New Roman"/>
      <w:lang w:eastAsia="ja-JP"/>
    </w:rPr>
  </w:style>
  <w:style w:type="paragraph" w:customStyle="1" w:styleId="124">
    <w:name w:val="Guidance"/>
    <w:basedOn w:val="1"/>
    <w:link w:val="125"/>
    <w:qFormat/>
    <w:uiPriority w:val="0"/>
    <w:rPr>
      <w:i/>
      <w:color w:val="0000FF"/>
    </w:rPr>
  </w:style>
  <w:style w:type="character" w:customStyle="1" w:styleId="125">
    <w:name w:val="Guidance Char"/>
    <w:link w:val="124"/>
    <w:qFormat/>
    <w:uiPriority w:val="0"/>
    <w:rPr>
      <w:rFonts w:ascii="Times New Roman" w:hAnsi="Times New Roman"/>
      <w:i/>
      <w:color w:val="0000FF"/>
      <w:lang w:eastAsia="en-US"/>
    </w:rPr>
  </w:style>
  <w:style w:type="character" w:customStyle="1" w:styleId="126">
    <w:name w:val="Heading 1 Char"/>
    <w:basedOn w:val="46"/>
    <w:link w:val="2"/>
    <w:qFormat/>
    <w:uiPriority w:val="0"/>
    <w:rPr>
      <w:rFonts w:ascii="Arial" w:hAnsi="Arial"/>
      <w:sz w:val="28"/>
      <w:szCs w:val="28"/>
      <w:lang w:val="en-GB"/>
    </w:rPr>
  </w:style>
  <w:style w:type="character" w:customStyle="1" w:styleId="127">
    <w:name w:val="Document Map Char"/>
    <w:link w:val="31"/>
    <w:qFormat/>
    <w:uiPriority w:val="0"/>
    <w:rPr>
      <w:rFonts w:ascii="Tahoma" w:hAnsi="Tahoma" w:cs="Tahoma"/>
      <w:shd w:val="clear" w:color="auto" w:fill="000080"/>
      <w:lang w:val="en-GB"/>
    </w:rPr>
  </w:style>
  <w:style w:type="character" w:customStyle="1" w:styleId="128">
    <w:name w:val="Comment Subject Char"/>
    <w:link w:val="15"/>
    <w:qFormat/>
    <w:uiPriority w:val="0"/>
    <w:rPr>
      <w:rFonts w:ascii="Times New Roman" w:hAnsi="Times New Roman"/>
      <w:b/>
      <w:bCs/>
      <w:lang w:val="en-GB"/>
    </w:rPr>
  </w:style>
  <w:style w:type="character" w:customStyle="1" w:styleId="129">
    <w:name w:val="Balloon Text Char"/>
    <w:link w:val="36"/>
    <w:qFormat/>
    <w:uiPriority w:val="0"/>
    <w:rPr>
      <w:rFonts w:ascii="Tahoma" w:hAnsi="Tahoma" w:cs="Tahoma"/>
      <w:sz w:val="16"/>
      <w:szCs w:val="16"/>
      <w:lang w:val="en-GB"/>
    </w:rPr>
  </w:style>
  <w:style w:type="character" w:customStyle="1" w:styleId="130">
    <w:name w:val="EX Char"/>
    <w:link w:val="64"/>
    <w:qFormat/>
    <w:uiPriority w:val="0"/>
    <w:rPr>
      <w:rFonts w:ascii="Times New Roman" w:hAnsi="Times New Roman"/>
      <w:lang w:val="en-GB"/>
    </w:rPr>
  </w:style>
  <w:style w:type="character" w:customStyle="1" w:styleId="131">
    <w:name w:val="Heading 4 Char"/>
    <w:link w:val="5"/>
    <w:qFormat/>
    <w:uiPriority w:val="0"/>
    <w:rPr>
      <w:rFonts w:ascii="Arial" w:hAnsi="Arial"/>
      <w:sz w:val="24"/>
      <w:szCs w:val="24"/>
      <w:lang w:eastAsia="zh-CN"/>
    </w:rPr>
  </w:style>
  <w:style w:type="character" w:customStyle="1" w:styleId="132">
    <w:name w:val="Footnote Text Char"/>
    <w:link w:val="39"/>
    <w:qFormat/>
    <w:uiPriority w:val="0"/>
    <w:rPr>
      <w:rFonts w:ascii="Times New Roman" w:hAnsi="Times New Roman"/>
      <w:sz w:val="16"/>
      <w:lang w:val="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3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35">
    <w:name w:val="TableText"/>
    <w:basedOn w:val="33"/>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36">
    <w:name w:val="Body Text Indent Char"/>
    <w:basedOn w:val="46"/>
    <w:link w:val="33"/>
    <w:qFormat/>
    <w:uiPriority w:val="0"/>
    <w:rPr>
      <w:rFonts w:ascii="Times New Roman" w:hAnsi="Times New Roman"/>
      <w:lang w:val="en-GB"/>
    </w:rPr>
  </w:style>
  <w:style w:type="character" w:customStyle="1" w:styleId="137">
    <w:name w:val="_tgc"/>
    <w:qFormat/>
    <w:uiPriority w:val="0"/>
  </w:style>
  <w:style w:type="character" w:customStyle="1" w:styleId="138">
    <w:name w:val="Heading 2 Char"/>
    <w:basedOn w:val="46"/>
    <w:link w:val="3"/>
    <w:qFormat/>
    <w:uiPriority w:val="0"/>
    <w:rPr>
      <w:rFonts w:ascii="Arial" w:hAnsi="Arial"/>
      <w:sz w:val="24"/>
      <w:szCs w:val="24"/>
      <w:lang w:eastAsia="zh-CN"/>
    </w:rPr>
  </w:style>
  <w:style w:type="character" w:customStyle="1" w:styleId="139">
    <w:name w:val="EX Car"/>
    <w:qFormat/>
    <w:locked/>
    <w:uiPriority w:val="0"/>
    <w:rPr>
      <w:rFonts w:ascii="Times New Roman" w:hAnsi="Times New Roman" w:eastAsia="Times New Roman"/>
      <w:lang w:val="en-GB" w:eastAsia="zh-CN"/>
    </w:rPr>
  </w:style>
  <w:style w:type="character" w:customStyle="1" w:styleId="140">
    <w:name w:val="List Paragraph Char"/>
    <w:link w:val="112"/>
    <w:qFormat/>
    <w:locked/>
    <w:uiPriority w:val="34"/>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FB0E7-D3F7-4904-A9A3-A5C64EC34C74}">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Pages>
  <Words>1190</Words>
  <Characters>6785</Characters>
  <Lines>56</Lines>
  <Paragraphs>15</Paragraphs>
  <ScaleCrop>false</ScaleCrop>
  <LinksUpToDate>false</LinksUpToDate>
  <CharactersWithSpaces>7960</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2017-06-19T14:54:00Z</dcterms:created>
  <dc:creator>mwx193114</dc:creator>
  <cp:lastModifiedBy>Bright</cp:lastModifiedBy>
  <cp:lastPrinted>2015-01-14T11:53:00Z</cp:lastPrinted>
  <dcterms:modified xsi:type="dcterms:W3CDTF">2017-11-17T08:45:28Z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1497097059</vt:lpwstr>
  </property>
  <property fmtid="{D5CDD505-2E9C-101B-9397-08002B2CF9AE}" pid="29" name="KSOProductBuildVer">
    <vt:lpwstr>2052-10.8.0.5918</vt:lpwstr>
  </property>
</Properties>
</file>